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Zeitstrahl</w:t>
      </w:r>
    </w:p>
    <w:p>
      <w:pPr>
        <w:pStyle w:val="ListBullet"/>
      </w:pPr>
      <w:r>
        <w:t>11.04.2026: erste interne Entscheidung.</w:t>
      </w:r>
    </w:p>
    <w:p>
      <w:pPr>
        <w:pStyle w:val="ListBullet"/>
      </w:pPr>
      <w:r>
        <w:t>24.04.2026: E-Mail mit unklarer Rechtsqualität.</w:t>
      </w:r>
    </w:p>
    <w:p>
      <w:pPr>
        <w:pStyle w:val="ListBullet"/>
      </w:pPr>
      <w:r>
        <w:t>05.05.2026: Bescheid/Protokoll wird übersandt.</w:t>
      </w:r>
    </w:p>
    <w:p>
      <w:pPr>
        <w:pStyle w:val="ListBullet"/>
      </w:pPr>
      <w:r>
        <w:t>18.05.2026: Betroffene Person bittet um Akteneinsicht.</w:t>
      </w:r>
    </w:p>
    <w:p>
      <w:pPr>
        <w:pStyle w:val="ListBullet"/>
      </w:pPr>
      <w:r>
        <w:t>27.05.2026: Fristdruck, weil Alltag/Studienverlauf unmittelbar betroffen ist.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