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Normenkette — Live-Check für Lindenhof-Gymnasium, Unterrichtsausschluss und drohenden Schulwechsel</w:t>
      </w:r>
    </w:p>
    <w:p>
      <w:pPr>
        <w:pStyle w:val="Heading2"/>
      </w:pPr>
      <w:r>
        <w:rPr>
          <w:rFonts w:ascii="Times New Roman" w:hAnsi="Times New Roman"/>
        </w:rPr>
        <w:t>Vorgehen</w:t>
      </w:r>
    </w:p>
    <w:p>
      <w:pPr>
        <w:jc w:val="left"/>
      </w:pPr>
      <w:r>
        <w:t>Schulrechtliche Mandate haben drei Besonderheiten: (1) Landesrechtliche Vielfalt (16 SchulG), (2) hohe Eilbedürftigkeit (laufender Schulalltag betroffen), (3) regelmäßige Verzahnung mit Behindertengleichstellung und Eingliederungshilferecht (SGB IX).</w:t>
      </w:r>
    </w:p>
    <w:p>
      <w:pPr>
        <w:jc w:val="left"/>
      </w:pPr>
      <w:r>
        <w:t xml:space="preserve">Im konkreten Fall: 14-jährige Schülerin am </w:t>
      </w:r>
      <w:r>
        <w:rPr>
          <w:b/>
        </w:rPr>
        <w:t>Lindenhof-Gymnasium</w:t>
      </w:r>
      <w:r>
        <w:t xml:space="preserve"> mit anerkanntem </w:t>
      </w:r>
      <w:r>
        <w:rPr>
          <w:b/>
        </w:rPr>
        <w:t>Nachteilsausgleich wegen ADHS und LRS</w:t>
      </w:r>
      <w:r>
        <w:t xml:space="preserve">. Verfahrensstand: </w:t>
      </w:r>
      <w:r>
        <w:rPr>
          <w:b/>
        </w:rPr>
        <w:t>Unterrichtsausschluss</w:t>
      </w:r>
      <w:r>
        <w:t xml:space="preserve"> nach </w:t>
      </w:r>
      <w:r>
        <w:rPr>
          <w:b/>
        </w:rPr>
        <w:t>Mobbingvorwurf</w:t>
      </w:r>
      <w:r>
        <w:t xml:space="preserve">, in dessen Mittelpunkt ein </w:t>
      </w:r>
      <w:r>
        <w:rPr>
          <w:b/>
        </w:rPr>
        <w:t>Handyvideo</w:t>
      </w:r>
      <w:r>
        <w:t xml:space="preserve"> steht; zugleich Streit über </w:t>
      </w:r>
      <w:r>
        <w:rPr>
          <w:b/>
        </w:rPr>
        <w:t>Ganztagsbetreuung</w:t>
      </w:r>
      <w:r>
        <w:t xml:space="preserve"> und ein vom Lindenhof-Gymnasium angekündigter </w:t>
      </w:r>
      <w:r>
        <w:rPr>
          <w:b/>
        </w:rPr>
        <w:t>Schulwechsel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Stufe 1: Verfassungsrang</w:t>
      </w:r>
    </w:p>
    <w:p>
      <w:pPr>
        <w:pStyle w:val="ListBullet"/>
      </w:pPr>
      <w:r>
        <w:rPr>
          <w:b/>
        </w:rPr>
        <w:t>Art. 7 Abs. 1 GG</w:t>
      </w:r>
      <w:r>
        <w:t xml:space="preserve"> — Schulhoheit des Staates; Grenzen aus Grundrechten der Schülerin und der Eltern.</w:t>
      </w:r>
    </w:p>
    <w:p>
      <w:pPr>
        <w:pStyle w:val="ListBullet"/>
      </w:pPr>
      <w:r>
        <w:rPr>
          <w:b/>
        </w:rPr>
        <w:t>Art. 3 Abs. 3 Satz 2 GG</w:t>
      </w:r>
      <w:r>
        <w:t xml:space="preserve"> — Verbot der Benachteiligung wegen Behinderung; einschlägig wegen ADHS/LRS.</w:t>
      </w:r>
    </w:p>
    <w:p>
      <w:pPr>
        <w:pStyle w:val="ListBullet"/>
      </w:pPr>
      <w:r>
        <w:rPr>
          <w:b/>
        </w:rPr>
        <w:t>Art. 6 Abs. 2 GG</w:t>
      </w:r>
      <w:r>
        <w:t xml:space="preserve"> — elterliches Erziehungsrecht; Mitwirkungspflicht der Schule bei Ordnungsmaßnahmen.</w:t>
      </w:r>
    </w:p>
    <w:p>
      <w:pPr>
        <w:pStyle w:val="ListBullet"/>
      </w:pPr>
      <w:r>
        <w:rPr>
          <w:b/>
        </w:rPr>
        <w:t>Art. 2 Abs. 1 iVm Art. 1 Abs. 1 GG</w:t>
      </w:r>
      <w:r>
        <w:t xml:space="preserve"> — Allgemeines Persönlichkeitsrecht, insbesondere bei Handyvideo (Bildaufnahme, Verbreitung über Schul-Chat).</w:t>
      </w:r>
    </w:p>
    <w:p>
      <w:pPr>
        <w:pStyle w:val="ListBullet"/>
      </w:pPr>
      <w:r>
        <w:rPr>
          <w:b/>
        </w:rPr>
        <w:t>UN-BRK Art. 24</w:t>
      </w:r>
      <w:r>
        <w:t xml:space="preserve"> — Recht auf inklusive Bildung.</w:t>
      </w:r>
    </w:p>
    <w:p>
      <w:pPr>
        <w:pStyle w:val="Heading3"/>
      </w:pPr>
      <w:r>
        <w:rPr>
          <w:rFonts w:ascii="Times New Roman" w:hAnsi="Times New Roman"/>
        </w:rPr>
        <w:t>Stufe 2: Bundesland und aktuelles Schulgesetz</w:t>
      </w:r>
    </w:p>
    <w:p>
      <w:pPr>
        <w:pStyle w:val="ListBullet"/>
      </w:pPr>
      <w:r>
        <w:rPr>
          <w:b/>
        </w:rPr>
        <w:t>Bundesland aus Aktenstück 04 (Schreiben der Schulleitung) verifizieren</w:t>
      </w:r>
      <w:r>
        <w:t xml:space="preserve"> — wir vermuten ein Bundesland mit Lindenhof-Gymnasium, müssen das aber konkret prüfen.</w:t>
      </w:r>
    </w:p>
    <w:p>
      <w:pPr>
        <w:pStyle w:val="ListBullet"/>
      </w:pPr>
      <w:r>
        <w:t xml:space="preserve">Live-Check des einschlägigen </w:t>
      </w:r>
      <w:r>
        <w:rPr>
          <w:b/>
        </w:rPr>
        <w:t>Schulgesetzes</w:t>
      </w:r>
      <w:r>
        <w:t xml:space="preserve"> (z. B. Hess. Schulgesetz, NRW SchulG, BayEUG, BW SchG) gegen die jeweilige Landesrechts-Datenbank.</w:t>
      </w:r>
    </w:p>
    <w:p>
      <w:pPr>
        <w:pStyle w:val="ListBullet"/>
      </w:pPr>
      <w:r>
        <w:t>Schlüsselparagraphen je Landesrecht:</w:t>
      </w:r>
    </w:p>
    <w:p>
      <w:pPr>
        <w:pStyle w:val="ListBullet"/>
      </w:pPr>
      <w:r>
        <w:rPr>
          <w:b/>
        </w:rPr>
        <w:t>Ordnungsmaßnahmen</w:t>
      </w:r>
      <w:r>
        <w:t xml:space="preserve"> (Unterrichtsausschluss bis Schulwechsel) — eskalierende Stufenleiter.</w:t>
      </w:r>
    </w:p>
    <w:p>
      <w:pPr>
        <w:pStyle w:val="ListBullet"/>
      </w:pPr>
      <w:r>
        <w:rPr>
          <w:b/>
        </w:rPr>
        <w:t>Nachteilsausgleich/Inklusion</w:t>
      </w:r>
      <w:r>
        <w:t xml:space="preserve"> (Anspruch, Verfahren, Beteiligung der Eltern).</w:t>
      </w:r>
    </w:p>
    <w:p>
      <w:pPr>
        <w:pStyle w:val="ListBullet"/>
      </w:pPr>
      <w:r>
        <w:rPr>
          <w:b/>
        </w:rPr>
        <w:t>Schülerbeförderung / Schulwegregelung</w:t>
      </w:r>
      <w:r>
        <w:t xml:space="preserve"> bei Schulwechsel.</w:t>
      </w:r>
    </w:p>
    <w:p>
      <w:pPr>
        <w:pStyle w:val="ListBullet"/>
      </w:pPr>
      <w:r>
        <w:rPr>
          <w:b/>
        </w:rPr>
        <w:t>Beteiligung der Schulkonferenz / Klassenkonferenz</w:t>
      </w:r>
      <w:r>
        <w:t xml:space="preserve"> vor Ordnungsmaßnahme.</w:t>
      </w:r>
    </w:p>
    <w:p>
      <w:pPr>
        <w:pStyle w:val="Heading3"/>
      </w:pPr>
      <w:r>
        <w:rPr>
          <w:rFonts w:ascii="Times New Roman" w:hAnsi="Times New Roman"/>
        </w:rPr>
        <w:t>Stufe 3: Verordnung und untergesetzliche Ordnungen</w:t>
      </w:r>
    </w:p>
    <w:p>
      <w:pPr>
        <w:pStyle w:val="ListBullet"/>
      </w:pPr>
      <w:r>
        <w:rPr>
          <w:b/>
        </w:rPr>
        <w:t>Verordnung über Ordnungsmaßnahmen</w:t>
      </w:r>
      <w:r>
        <w:t xml:space="preserve"> des Landes.</w:t>
      </w:r>
    </w:p>
    <w:p>
      <w:pPr>
        <w:pStyle w:val="ListBullet"/>
      </w:pPr>
      <w:r>
        <w:rPr>
          <w:b/>
        </w:rPr>
        <w:t>Verordnung über sonderpädagogische Förderung und Nachteilsausgleich</w:t>
      </w:r>
      <w:r>
        <w:t>.</w:t>
      </w:r>
    </w:p>
    <w:p>
      <w:pPr>
        <w:pStyle w:val="ListBullet"/>
      </w:pPr>
      <w:r>
        <w:rPr>
          <w:b/>
        </w:rPr>
        <w:t>Datenschutzregelung</w:t>
      </w:r>
      <w:r>
        <w:t xml:space="preserve"> für Handyaufzeichnungen im Schulkontext (KMK-Empfehlungen, Landesdatenschutzgesetz).</w:t>
      </w:r>
    </w:p>
    <w:p>
      <w:pPr>
        <w:pStyle w:val="ListBullet"/>
      </w:pPr>
      <w:r>
        <w:rPr>
          <w:b/>
        </w:rPr>
        <w:t>Mediationsordnung</w:t>
      </w:r>
      <w:r>
        <w:t xml:space="preserve"> der Schule oder des Schulträgers, falls einschlägig.</w:t>
      </w:r>
    </w:p>
    <w:p>
      <w:pPr>
        <w:pStyle w:val="Heading3"/>
      </w:pPr>
      <w:r>
        <w:rPr>
          <w:rFonts w:ascii="Times New Roman" w:hAnsi="Times New Roman"/>
        </w:rPr>
        <w:t>Stufe 4: Schulinterne Ordnung und Beschluss</w:t>
      </w:r>
    </w:p>
    <w:p>
      <w:pPr>
        <w:pStyle w:val="ListBullet"/>
      </w:pPr>
      <w:r>
        <w:rPr>
          <w:b/>
        </w:rPr>
        <w:t>Schulordnung Lindenhof-Gymnasium</w:t>
      </w:r>
      <w:r>
        <w:t xml:space="preserve"> (in aktueller Fassung).</w:t>
      </w:r>
    </w:p>
    <w:p>
      <w:pPr>
        <w:pStyle w:val="ListBullet"/>
      </w:pPr>
      <w:r>
        <w:rPr>
          <w:b/>
        </w:rPr>
        <w:t>Beschluss der Klassenkonferenz</w:t>
      </w:r>
      <w:r>
        <w:t xml:space="preserve"> zum Unterrichtsausschluss — Protokoll vollständig anfordern.</w:t>
      </w:r>
    </w:p>
    <w:p>
      <w:pPr>
        <w:pStyle w:val="ListBullet"/>
      </w:pPr>
      <w:r>
        <w:rPr>
          <w:b/>
        </w:rPr>
        <w:t>Beschluss der Gesamtkonferenz / Schulkonferenz</w:t>
      </w:r>
      <w:r>
        <w:t>, falls bereits über Schulwechsel beraten wurde.</w:t>
      </w:r>
    </w:p>
    <w:p>
      <w:pPr>
        <w:pStyle w:val="ListBullet"/>
      </w:pPr>
      <w:r>
        <w:rPr>
          <w:b/>
        </w:rPr>
        <w:t>Förderplan und schulpsychologische Notiz</w:t>
      </w:r>
      <w:r>
        <w:t xml:space="preserve"> (Aktenstück 06) — für die Frage, ob das Mobbing-Verhalten im Zusammenhang mit ADHS steht.</w:t>
      </w:r>
    </w:p>
    <w:p>
      <w:pPr>
        <w:pStyle w:val="Heading3"/>
      </w:pPr>
      <w:r>
        <w:rPr>
          <w:rFonts w:ascii="Times New Roman" w:hAnsi="Times New Roman"/>
        </w:rPr>
        <w:t>Stufe 5: Konkreter Bescheid und Verwaltungsakt</w:t>
      </w:r>
    </w:p>
    <w:p>
      <w:pPr>
        <w:pStyle w:val="ListBullet"/>
      </w:pPr>
      <w:r>
        <w:rPr>
          <w:b/>
        </w:rPr>
        <w:t>Schreiben der Schulleitung Unterrichtsausschluss</w:t>
      </w:r>
      <w:r>
        <w:t xml:space="preserve"> vom (Datum aus Aktenstück 04): Verwaltungsakt iSv § 35 VwVfG des jeweiligen Landes.</w:t>
      </w:r>
    </w:p>
    <w:p>
      <w:pPr>
        <w:pStyle w:val="ListBullet"/>
      </w:pPr>
      <w:r>
        <w:rPr>
          <w:b/>
        </w:rPr>
        <w:t>Anhörungsdokumentation</w:t>
      </w:r>
      <w:r>
        <w:t>: Eltern und ggf. Schülerin nach § 28 VwVfG angehört? Beleg fehlt aktuell.</w:t>
      </w:r>
    </w:p>
    <w:p>
      <w:pPr>
        <w:pStyle w:val="ListBullet"/>
      </w:pPr>
      <w:r>
        <w:rPr>
          <w:b/>
        </w:rPr>
        <w:t>Drohung des Schulwechsels</w:t>
      </w:r>
      <w:r>
        <w:t>: noch nicht förmlich beschlossen, aber in Aktenstück 04 angekündigt — Eilrechtsschutz präventiv vorbereiten.</w:t>
      </w:r>
    </w:p>
    <w:p>
      <w:pPr>
        <w:pStyle w:val="Heading3"/>
      </w:pPr>
      <w:r>
        <w:rPr>
          <w:rFonts w:ascii="Times New Roman" w:hAnsi="Times New Roman"/>
        </w:rPr>
        <w:t>Stufe 6: Rechtsbehelf und Frist</w:t>
      </w:r>
    </w:p>
    <w:p>
      <w:pPr>
        <w:pStyle w:val="ListBullet"/>
      </w:pPr>
      <w:r>
        <w:rPr>
          <w:b/>
        </w:rPr>
        <w:t>Widerspruch</w:t>
      </w:r>
      <w:r>
        <w:t xml:space="preserve"> nach § 70 VwGO iVm Landesrecht: 1 Monat nach Bekanntgabe.</w:t>
      </w:r>
    </w:p>
    <w:p>
      <w:pPr>
        <w:pStyle w:val="ListBullet"/>
      </w:pPr>
      <w:r>
        <w:rPr>
          <w:b/>
        </w:rPr>
        <w:t>Widerspruchsbehörde</w:t>
      </w:r>
      <w:r>
        <w:t>: Staatliches Schulamt / Bezirksregierung des Landes.</w:t>
      </w:r>
    </w:p>
    <w:p>
      <w:pPr>
        <w:pStyle w:val="ListBullet"/>
      </w:pPr>
      <w:r>
        <w:rPr>
          <w:b/>
        </w:rPr>
        <w:t>Klage</w:t>
      </w:r>
      <w:r>
        <w:t xml:space="preserve"> vor dem örtlich zuständigen Verwaltungsgericht (Sitz des Schulträgers).</w:t>
      </w:r>
    </w:p>
    <w:p>
      <w:pPr>
        <w:pStyle w:val="ListBullet"/>
      </w:pPr>
      <w:r>
        <w:rPr>
          <w:b/>
        </w:rPr>
        <w:t>Eilantrag § 80 Abs. 5 VwGO</w:t>
      </w:r>
      <w:r>
        <w:t xml:space="preserve"> (Wiederherstellung der aufschiebenden Wirkung Unterrichtsausschluss) und ggf. § 123 VwGO (gegen drohenden Schulwechsel).</w:t>
      </w:r>
    </w:p>
    <w:p>
      <w:pPr>
        <w:pStyle w:val="Heading2"/>
      </w:pPr>
      <w:r>
        <w:rPr>
          <w:rFonts w:ascii="Times New Roman" w:hAnsi="Times New Roman"/>
        </w:rPr>
        <w:t>Spezialthema 1: Handyvideo und Persönlichkeitsrecht</w:t>
      </w:r>
    </w:p>
    <w:p>
      <w:pPr>
        <w:pStyle w:val="ListBullet"/>
      </w:pPr>
      <w:r>
        <w:rPr>
          <w:b/>
        </w:rPr>
        <w:t>Schülerin als Aufnehmende oder Aufgenommene?</w:t>
      </w:r>
      <w:r>
        <w:t xml:space="preserve"> Aktenstück 04 ist hier nicht eindeutig; bitte konkret aus den Schreiben der Schulleitung herauslesen.</w:t>
      </w:r>
    </w:p>
    <w:p>
      <w:pPr>
        <w:pStyle w:val="ListBullet"/>
      </w:pPr>
      <w:r>
        <w:rPr>
          <w:b/>
        </w:rPr>
        <w:t>Bildrechte / Datenschutz</w:t>
      </w:r>
      <w:r>
        <w:t>: Unbefugte Aufnahme nach § 201a StGB; DSGVO-Verstoß bei Verbreitung; KUG bei Veröffentlichung.</w:t>
      </w:r>
    </w:p>
    <w:p>
      <w:pPr>
        <w:pStyle w:val="ListBullet"/>
      </w:pPr>
      <w:r>
        <w:rPr>
          <w:b/>
        </w:rPr>
        <w:t>Sanktionsstärke</w:t>
      </w:r>
      <w:r>
        <w:t>: Bei Verbreitung in Schul-Chat ist die Tatschwere höher als bei reiner Aufzeichnung.</w:t>
      </w:r>
    </w:p>
    <w:p>
      <w:pPr>
        <w:pStyle w:val="ListBullet"/>
      </w:pPr>
      <w:r>
        <w:rPr>
          <w:b/>
        </w:rPr>
        <w:t>Verhältnismäßigkeit</w:t>
      </w:r>
      <w:r>
        <w:t>: Unterrichtsausschluss und Schulwechsel sind eingreifend; gestufte Maßnahmen (Gespräch, Mediation, Klassenkonferenz, vorübergehender Ausschluss, dauerhafter Wechsel) müssen vorher ausgeschöpft sein.</w:t>
      </w:r>
    </w:p>
    <w:p>
      <w:pPr>
        <w:pStyle w:val="Heading2"/>
      </w:pPr>
      <w:r>
        <w:rPr>
          <w:rFonts w:ascii="Times New Roman" w:hAnsi="Times New Roman"/>
        </w:rPr>
        <w:t>Spezialthema 2: Nachteilsausgleich (ADHS/LRS) und Mobbing-Verdacht</w:t>
      </w:r>
    </w:p>
    <w:p>
      <w:pPr>
        <w:pStyle w:val="ListBullet"/>
      </w:pPr>
      <w:r>
        <w:rPr>
          <w:b/>
        </w:rPr>
        <w:t>Wechselwirkung</w:t>
      </w:r>
      <w:r>
        <w:t>: ADHS kann impulsives Verhalten und Konfliktverhalten begünstigen — relevant für die Frage, ob die Mobbinghandlungen behinderungsbedingt sind.</w:t>
      </w:r>
    </w:p>
    <w:p>
      <w:pPr>
        <w:pStyle w:val="ListBullet"/>
      </w:pPr>
      <w:r>
        <w:rPr>
          <w:b/>
        </w:rPr>
        <w:t>Diskriminierungsverbot Art. 3 III 2 GG</w:t>
      </w:r>
      <w:r>
        <w:t>: Wenn Sanktion auf behinderungsbedingtes Verhalten reagiert, kann sie rechtswidrig sein.</w:t>
      </w:r>
    </w:p>
    <w:p>
      <w:pPr>
        <w:pStyle w:val="ListBullet"/>
      </w:pPr>
      <w:r>
        <w:rPr>
          <w:b/>
        </w:rPr>
        <w:t>Angemessene Vorkehrungen</w:t>
      </w:r>
      <w:r>
        <w:t xml:space="preserve"> (UN-BRK Art. 2): Hat die Schule alle ihr zur Verfügung stehenden Mittel (Schulbegleitung, Mediation, Förderkonferenz) tatsächlich genutzt?</w:t>
      </w:r>
    </w:p>
    <w:p>
      <w:pPr>
        <w:pStyle w:val="ListBullet"/>
      </w:pPr>
      <w:r>
        <w:rPr>
          <w:b/>
        </w:rPr>
        <w:t>Nachteilsausgleichsmaßnahmen</w:t>
      </w:r>
      <w:r>
        <w:t xml:space="preserve"> im Konfliktfall: ggf. Einzelfallregelung statt pauschaler Sanktion.</w:t>
      </w:r>
    </w:p>
    <w:p>
      <w:pPr>
        <w:pStyle w:val="Heading2"/>
      </w:pPr>
      <w:r>
        <w:rPr>
          <w:rFonts w:ascii="Times New Roman" w:hAnsi="Times New Roman"/>
        </w:rPr>
        <w:t>Spezialthema 3: Ganztagsbetreuung</w:t>
      </w:r>
    </w:p>
    <w:p>
      <w:pPr>
        <w:pStyle w:val="ListBullet"/>
      </w:pPr>
      <w:r>
        <w:rPr>
          <w:b/>
        </w:rPr>
        <w:t>Anspruch auf Ganztagsbetreuung</w:t>
      </w:r>
      <w:r>
        <w:t xml:space="preserve"> je nach Landesrecht; bei Wegfall durch Unterrichtsausschluss entstehen Folgefragen (Aufsicht, Mittagessen, Hausaufgabenbetreuung).</w:t>
      </w:r>
    </w:p>
    <w:p>
      <w:pPr>
        <w:pStyle w:val="ListBullet"/>
      </w:pPr>
      <w:r>
        <w:rPr>
          <w:b/>
        </w:rPr>
        <w:t>Eltern-Berufstätigkeit</w:t>
      </w:r>
      <w:r>
        <w:t>: bei wegfallender Ganztagsbetreuung erheblicher praktischer Schaden — relevant für die Anordnungsgrund-Begründung im Eilantrag.</w:t>
      </w:r>
    </w:p>
    <w:p>
      <w:pPr>
        <w:pStyle w:val="Heading2"/>
      </w:pPr>
      <w:r>
        <w:rPr>
          <w:rFonts w:ascii="Times New Roman" w:hAnsi="Times New Roman"/>
        </w:rPr>
        <w:t>Live-Quellen-Karte</w:t>
      </w:r>
    </w:p>
    <w:p>
      <w:pPr>
        <w:pStyle w:val="ListBullet"/>
      </w:pPr>
      <w:r>
        <w:t>Landesrechts-Datenbank des einschlägigen Bundeslandes.</w:t>
      </w:r>
    </w:p>
    <w:p>
      <w:pPr>
        <w:pStyle w:val="ListBullet"/>
      </w:pPr>
      <w:r>
        <w:t>KMK-Empfehlungen zu Mobbing-Prävention in Schulen.</w:t>
      </w:r>
    </w:p>
    <w:p>
      <w:pPr>
        <w:pStyle w:val="ListBullet"/>
      </w:pPr>
      <w:r>
        <w:t>bverwg.de</w:t>
      </w:r>
      <w:r>
        <w:t xml:space="preserve"> und Landes-OVG für aktuelle Rechtsprechung zu Ordnungsmaßnahmen und Schulwechsel.</w:t>
      </w:r>
    </w:p>
    <w:p>
      <w:pPr>
        <w:pStyle w:val="ListBullet"/>
      </w:pPr>
      <w:r>
        <w:t>Datenschutzaufsicht Land für KUG-/DSGVO-Frage bei Handyvideo.</w:t>
      </w:r>
    </w:p>
    <w:p>
      <w:pPr>
        <w:pStyle w:val="ListBullet"/>
      </w:pPr>
      <w:r>
        <w:t>Verbände der Eltern und Selbsthilfe ADHS Deutschland e.V. (zentraler Hinweis-/Wissensgeber).</w:t>
      </w:r>
    </w:p>
    <w:p>
      <w:pPr>
        <w:pStyle w:val="Heading2"/>
      </w:pPr>
      <w:r>
        <w:rPr>
          <w:rFonts w:ascii="Times New Roman" w:hAnsi="Times New Roman"/>
        </w:rPr>
        <w:t>Quellenhygiene</w:t>
      </w:r>
    </w:p>
    <w:p>
      <w:pPr>
        <w:pStyle w:val="ListBullet"/>
      </w:pPr>
      <w:r>
        <w:t>Keine Az aus Modellwissen. Schulrechts-Rechtsprechung ist landesspezifisch — kein Übertrag ohne Prüfung der Übertragbarkeit.</w:t>
      </w:r>
    </w:p>
    <w:p>
      <w:pPr>
        <w:pStyle w:val="ListBullet"/>
      </w:pPr>
      <w:r>
        <w:t>Bei UN-BRK auf den deutschen Anwendungsvorbehalt (BRK als gesetzliche, nicht verfassungsrechtliche Pflicht) hinweisen.</w:t>
      </w:r>
    </w:p>
    <w:p>
      <w:pPr>
        <w:pStyle w:val="ListBullet"/>
      </w:pPr>
      <w:r>
        <w:t>Konkretes Bundesland und einschlägiges Schulgesetz aus Aktenstück 04 verifizieren, bevor landesspezifische Aussagen getroffen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