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Times New Roman" w:hAnsi="Times New Roman"/>
        </w:rPr>
        <w:t>Offene Punkte — Lindenhof-Gymnasium, 14-jährige Schülerin, Unterrichtsausschluss und drohender Schulwechsel</w:t>
      </w:r>
    </w:p>
    <w:p>
      <w:pPr>
        <w:pStyle w:val="Heading2"/>
      </w:pPr>
      <w:r>
        <w:rPr>
          <w:rFonts w:ascii="Times New Roman" w:hAnsi="Times New Roman"/>
        </w:rPr>
        <w:t>Status</w:t>
      </w:r>
    </w:p>
    <w:p>
      <w:pPr>
        <w:jc w:val="left"/>
      </w:pPr>
      <w:r>
        <w:t xml:space="preserve">Stand: 02.06.2026. Mandanten: Erziehungsberechtigte einer 14-jährigen Schülerin am </w:t>
      </w:r>
      <w:r>
        <w:rPr>
          <w:b/>
        </w:rPr>
        <w:t>Lindenhof-Gymnasium</w:t>
      </w:r>
      <w:r>
        <w:t xml:space="preserve"> mit anerkanntem </w:t>
      </w:r>
      <w:r>
        <w:rPr>
          <w:b/>
        </w:rPr>
        <w:t>Nachteilsausgleich wegen ADHS und LRS</w:t>
      </w:r>
      <w:r>
        <w:t>. Auslöser: Mobbingvorwurf mit Handyvideo, daraufhin Unterrichtsausschluss durch die Schulleitung; zugleich Streit über die Ganztagsbetreuung und Andeutung eines Schulwechsels. Beratung: Frau Anne-Marie Tönnesen (Familien- und Schulrecht).</w:t>
      </w:r>
    </w:p>
    <w:p>
      <w:pPr>
        <w:pStyle w:val="Heading2"/>
      </w:pPr>
      <w:r>
        <w:rPr>
          <w:rFonts w:ascii="Times New Roman" w:hAnsi="Times New Roman"/>
        </w:rPr>
        <w:t>Offene Punkte</w:t>
      </w:r>
    </w:p>
    <w:p>
      <w:pPr>
        <w:pStyle w:val="Heading3"/>
      </w:pPr>
      <w:r>
        <w:rPr>
          <w:rFonts w:ascii="Times New Roman" w:hAnsi="Times New Roman"/>
        </w:rPr>
        <w:t>1. Aktuelle Landesnorm und Ordnungsversion</w:t>
      </w:r>
    </w:p>
    <w:p>
      <w:pPr>
        <w:pStyle w:val="ListBullet"/>
      </w:pPr>
      <w:r>
        <w:rPr>
          <w:b/>
        </w:rPr>
        <w:t>Schulgesetz des einschlägigen Bundeslandes</w:t>
      </w:r>
      <w:r>
        <w:t>: aus dem Kopfbogen des Schreibens der Schulleitung (Aktenstück 04) zu verifizieren; danach Live-Check gegen die jeweilige Landesrechts-Datenbank.</w:t>
      </w:r>
    </w:p>
    <w:p>
      <w:pPr>
        <w:pStyle w:val="ListBullet"/>
      </w:pPr>
      <w:r>
        <w:rPr>
          <w:b/>
        </w:rPr>
        <w:t>Verordnung über Ordnungsmaßnahmen</w:t>
      </w:r>
      <w:r>
        <w:t>: stufenleiter-Regelung des Landes; Bedingungen für Unterrichtsausschluss und Schulwechsel.</w:t>
      </w:r>
    </w:p>
    <w:p>
      <w:pPr>
        <w:pStyle w:val="ListBullet"/>
      </w:pPr>
      <w:r>
        <w:rPr>
          <w:b/>
        </w:rPr>
        <w:t>Inklusionsverordnung / Richtlinie Nachteilsausgleich</w:t>
      </w:r>
      <w:r>
        <w:t>: aktuelle Fassung mit etwaiger Übergangsregelung.</w:t>
      </w:r>
    </w:p>
    <w:p>
      <w:pPr>
        <w:pStyle w:val="ListBullet"/>
      </w:pPr>
      <w:r>
        <w:rPr>
          <w:b/>
        </w:rPr>
        <w:t>Schulordnung Lindenhof-Gymnasium</w:t>
      </w:r>
      <w:r>
        <w:t>: konkrete schulinterne Verhaltensregeln, Eskalationsstufen, Mobbing-/Cybermobbing-Regelungen.</w:t>
      </w:r>
    </w:p>
    <w:p>
      <w:pPr>
        <w:pStyle w:val="Heading3"/>
      </w:pPr>
      <w:r>
        <w:rPr>
          <w:rFonts w:ascii="Times New Roman" w:hAnsi="Times New Roman"/>
        </w:rPr>
        <w:t>2. Rechtsqualität der Schreiben und Beschlüsse</w:t>
      </w:r>
    </w:p>
    <w:p>
      <w:pPr>
        <w:pStyle w:val="ListBullet"/>
      </w:pPr>
      <w:r>
        <w:rPr>
          <w:b/>
        </w:rPr>
        <w:t>Schreiben Schulleitung Unterrichtsausschluss</w:t>
      </w:r>
      <w:r>
        <w:t xml:space="preserve"> (Aktenstück 04): Verwaltungsakt iSv § 35 VwVfG; greifbar als Klagegegenstand.</w:t>
      </w:r>
    </w:p>
    <w:p>
      <w:pPr>
        <w:pStyle w:val="ListBullet"/>
      </w:pPr>
      <w:r>
        <w:rPr>
          <w:b/>
        </w:rPr>
        <w:t>Beschluss Klassenkonferenz</w:t>
      </w:r>
      <w:r>
        <w:t>: Vorbereitungshandlung; eigene Anfechtbarkeit verneint.</w:t>
      </w:r>
    </w:p>
    <w:p>
      <w:pPr>
        <w:pStyle w:val="ListBullet"/>
      </w:pPr>
      <w:r>
        <w:rPr>
          <w:b/>
        </w:rPr>
        <w:t>E-Mail-Verkehr Eltern ↔ Schule</w:t>
      </w:r>
      <w:r>
        <w:t xml:space="preserve"> (Aktenstück 07): kein Verwaltungsakt, aber Beweis für Beteiligungs- und Anhörungsfragen.</w:t>
      </w:r>
    </w:p>
    <w:p>
      <w:pPr>
        <w:pStyle w:val="ListBullet"/>
      </w:pPr>
      <w:r>
        <w:rPr>
          <w:b/>
        </w:rPr>
        <w:t>Drohung Schulwechsel</w:t>
      </w:r>
      <w:r>
        <w:t>: noch nicht formell beschlossen; deshalb Eilrechtsschutz präventiv vorbereiten (§ 123 VwGO).</w:t>
      </w:r>
    </w:p>
    <w:p>
      <w:pPr>
        <w:pStyle w:val="ListBullet"/>
      </w:pPr>
      <w:r>
        <w:rPr>
          <w:b/>
        </w:rPr>
        <w:t>Förderplan / Schulpsychologische Notiz</w:t>
      </w:r>
      <w:r>
        <w:t xml:space="preserve"> (Aktenstück 06): keine Außenwirkung, aber zentrale Beweisstücke für die Frage der behinderungsbedingten Verhaltensursache.</w:t>
      </w:r>
    </w:p>
    <w:p>
      <w:pPr>
        <w:pStyle w:val="Heading3"/>
      </w:pPr>
      <w:r>
        <w:rPr>
          <w:rFonts w:ascii="Times New Roman" w:hAnsi="Times New Roman"/>
        </w:rPr>
        <w:t>3. Frist und zuständiger Rechtsbehelf</w:t>
      </w:r>
    </w:p>
    <w:p>
      <w:pPr>
        <w:pStyle w:val="ListBullet"/>
      </w:pPr>
      <w:r>
        <w:rPr>
          <w:b/>
        </w:rPr>
        <w:t>Widerspruchsfrist</w:t>
      </w:r>
      <w:r>
        <w:t xml:space="preserve"> § 70 VwGO iVm Landesrecht: 1 Monat nach Bekanntgabe Unterrichtsausschluss; konkretes Bekanntgabedatum aus Aktenstück 04.</w:t>
      </w:r>
    </w:p>
    <w:p>
      <w:pPr>
        <w:pStyle w:val="ListBullet"/>
      </w:pPr>
      <w:r>
        <w:rPr>
          <w:b/>
        </w:rPr>
        <w:t>Widerspruchsbehörde</w:t>
      </w:r>
      <w:r>
        <w:t>: Staatliches Schulamt / Bezirksregierung des Landes.</w:t>
      </w:r>
    </w:p>
    <w:p>
      <w:pPr>
        <w:pStyle w:val="ListBullet"/>
      </w:pPr>
      <w:r>
        <w:rPr>
          <w:b/>
        </w:rPr>
        <w:t>Klagefrist</w:t>
      </w:r>
      <w:r>
        <w:t>: 1 Monat nach Widerspruchsbescheid, beim örtlich zuständigen Verwaltungsgericht.</w:t>
      </w:r>
    </w:p>
    <w:p>
      <w:pPr>
        <w:pStyle w:val="ListBullet"/>
      </w:pPr>
      <w:r>
        <w:rPr>
          <w:b/>
        </w:rPr>
        <w:t>Eilrechtsschutz § 80 Abs. 5 VwGO</w:t>
      </w:r>
      <w:r>
        <w:t xml:space="preserve"> zur Wiederherstellung der aufschiebenden Wirkung des Unterrichtsausschlusses — Anordnungsanspruch (Verfahrensfehler, Diskriminierung wegen ADHS, Verhältnismäßigkeit), Anordnungsgrund (drohende Schulleistungsverluste, drohender Schulwechsel mit Folgewirkung).</w:t>
      </w:r>
    </w:p>
    <w:p>
      <w:pPr>
        <w:pStyle w:val="ListBullet"/>
      </w:pPr>
      <w:r>
        <w:rPr>
          <w:b/>
        </w:rPr>
        <w:t>§ 123 VwGO</w:t>
      </w:r>
      <w:r>
        <w:t xml:space="preserve"> zur einstweiligen Anordnung gegen den drohenden Schulwechsel.</w:t>
      </w:r>
    </w:p>
    <w:p>
      <w:pPr>
        <w:pStyle w:val="Heading3"/>
      </w:pPr>
      <w:r>
        <w:rPr>
          <w:rFonts w:ascii="Times New Roman" w:hAnsi="Times New Roman"/>
        </w:rPr>
        <w:t>4. Akteneinsicht und fehlende Protokolle</w:t>
      </w:r>
    </w:p>
    <w:p>
      <w:pPr>
        <w:pStyle w:val="ListBullet"/>
      </w:pPr>
      <w:r>
        <w:rPr>
          <w:b/>
        </w:rPr>
        <w:t>Akteneinsichtsantrag</w:t>
      </w:r>
      <w:r>
        <w:t xml:space="preserve"> nach § 29 VwVfG: sofort stellen, da der Verfahrensstand für Eilrechtsschutz benötigt wird.</w:t>
      </w:r>
    </w:p>
    <w:p>
      <w:pPr>
        <w:pStyle w:val="ListBullet"/>
      </w:pPr>
      <w:r>
        <w:rPr>
          <w:b/>
        </w:rPr>
        <w:t>Fehlende Unterlagen</w:t>
      </w:r>
      <w:r>
        <w:t>:</w:t>
      </w:r>
    </w:p>
    <w:p>
      <w:pPr>
        <w:pStyle w:val="ListBullet"/>
      </w:pPr>
      <w:r>
        <w:t xml:space="preserve">Vollständiges </w:t>
      </w:r>
      <w:r>
        <w:rPr>
          <w:b/>
        </w:rPr>
        <w:t>Klassenkonferenzprotokoll</w:t>
      </w:r>
      <w:r>
        <w:t xml:space="preserve"> mit Begründung des Unterrichtsausschlusses und Abstimmungsergebnis.</w:t>
      </w:r>
    </w:p>
    <w:p>
      <w:pPr>
        <w:pStyle w:val="ListBullet"/>
      </w:pPr>
      <w:r>
        <w:rPr>
          <w:b/>
        </w:rPr>
        <w:t>Schulpsychologische Stellungnahme</w:t>
      </w:r>
      <w:r>
        <w:t xml:space="preserve"> zur Wechselwirkung ADHS / Verhaltensauffälligkeit.</w:t>
      </w:r>
    </w:p>
    <w:p>
      <w:pPr>
        <w:pStyle w:val="ListBullet"/>
      </w:pPr>
      <w:r>
        <w:rPr>
          <w:b/>
        </w:rPr>
        <w:t>Förderplan-Historie</w:t>
      </w:r>
      <w:r>
        <w:t xml:space="preserve"> (bisherige Förderkonferenzen, Beschlüsse, Umsetzungsdokumentation).</w:t>
      </w:r>
    </w:p>
    <w:p>
      <w:pPr>
        <w:pStyle w:val="ListBullet"/>
      </w:pPr>
      <w:r>
        <w:rPr>
          <w:b/>
        </w:rPr>
        <w:t>Handyvideo</w:t>
      </w:r>
      <w:r>
        <w:t xml:space="preserve"> als Beweisstück und alle damit zusammenhängenden Chat-Verläufe (mit Erlaubnis der Beteiligten oder über Schul-IT).</w:t>
      </w:r>
    </w:p>
    <w:p>
      <w:pPr>
        <w:pStyle w:val="ListBullet"/>
      </w:pPr>
      <w:r>
        <w:rPr>
          <w:b/>
        </w:rPr>
        <w:t>Beweise zur Verbreitung</w:t>
      </w:r>
      <w:r>
        <w:t xml:space="preserve"> (wer hat das Video wem geschickt, wann, mit welchem Kommentar).</w:t>
      </w:r>
    </w:p>
    <w:p>
      <w:pPr>
        <w:pStyle w:val="ListBullet"/>
      </w:pPr>
      <w:r>
        <w:rPr>
          <w:b/>
        </w:rPr>
        <w:t>Mediationsversuche der Schule</w:t>
      </w:r>
      <w:r>
        <w:t xml:space="preserve"> vor dem Ausschluss — Belege?</w:t>
      </w:r>
    </w:p>
    <w:p>
      <w:pPr>
        <w:pStyle w:val="ListBullet"/>
      </w:pPr>
      <w:r>
        <w:rPr>
          <w:b/>
        </w:rPr>
        <w:t>Vergleichsfälle</w:t>
      </w:r>
      <w:r>
        <w:t>: Wie hat die Schule früher auf vergleichbare Vorfälle reagiert?</w:t>
      </w:r>
    </w:p>
    <w:p>
      <w:pPr>
        <w:pStyle w:val="Heading3"/>
      </w:pPr>
      <w:r>
        <w:rPr>
          <w:rFonts w:ascii="Times New Roman" w:hAnsi="Times New Roman"/>
        </w:rPr>
        <w:t>5. Beweisthemen für unsere Position</w:t>
      </w:r>
    </w:p>
    <w:p>
      <w:pPr>
        <w:pStyle w:val="ListBullet"/>
      </w:pPr>
      <w:r>
        <w:rPr>
          <w:b/>
        </w:rPr>
        <w:t>Verhältnismäßigkeit</w:t>
      </w:r>
      <w:r>
        <w:t>: Unterrichtsausschluss ist gravierender Eingriff. Schule muss zunächst mildere Mittel (Klassengespräch, Mediation, Einzelförderung, schulinterne Sanktion ohne Ausschluss) ausgeschöpft haben.</w:t>
      </w:r>
    </w:p>
    <w:p>
      <w:pPr>
        <w:pStyle w:val="ListBullet"/>
      </w:pPr>
      <w:r>
        <w:rPr>
          <w:b/>
        </w:rPr>
        <w:t>Wechselwirkung ADHS / Verhalten</w:t>
      </w:r>
      <w:r>
        <w:t>: Inkriminiertes Verhalten muss vor dem Hintergrund der diagnostizierten ADHS bewertet werden (Diskriminierungsverbot, Verhältnismäßigkeit).</w:t>
      </w:r>
    </w:p>
    <w:p>
      <w:pPr>
        <w:pStyle w:val="ListBullet"/>
      </w:pPr>
      <w:r>
        <w:rPr>
          <w:b/>
        </w:rPr>
        <w:t>Anhörungsrecht</w:t>
      </w:r>
      <w:r>
        <w:t xml:space="preserve"> der Eltern und der Schülerin vor Ordnungsmaßnahme: § 28 VwVfG; bei Verletzung kann § 46 VwVfG-Heilung versagen.</w:t>
      </w:r>
    </w:p>
    <w:p>
      <w:pPr>
        <w:pStyle w:val="ListBullet"/>
      </w:pPr>
      <w:r>
        <w:rPr>
          <w:b/>
        </w:rPr>
        <w:t>Beteiligungsrechte</w:t>
      </w:r>
      <w:r>
        <w:t xml:space="preserve"> des Schulvertretungs-Gremiums und des Schulelternbeirats.</w:t>
      </w:r>
    </w:p>
    <w:p>
      <w:pPr>
        <w:pStyle w:val="ListBullet"/>
      </w:pPr>
      <w:r>
        <w:rPr>
          <w:b/>
        </w:rPr>
        <w:t>Schutz vor Cybermobbing</w:t>
      </w:r>
      <w:r>
        <w:t>: Hat die Schule selbst die Mobbing-Prävention erfüllt? § 6 SchulG-Vorschriften zu Mobbing-Konzepten (je nach Land).</w:t>
      </w:r>
    </w:p>
    <w:p>
      <w:pPr>
        <w:pStyle w:val="ListBullet"/>
      </w:pPr>
      <w:r>
        <w:rPr>
          <w:b/>
        </w:rPr>
        <w:t>Handyvideo-Status</w:t>
      </w:r>
      <w:r>
        <w:t>: Was zeigt das Video tatsächlich? Wer ist Aufnehmer, wer ist Aufgenommener? Welche Rolle spielte die Mandantenschülerin?</w:t>
      </w:r>
    </w:p>
    <w:p>
      <w:pPr>
        <w:pStyle w:val="Heading3"/>
      </w:pPr>
      <w:r>
        <w:rPr>
          <w:rFonts w:ascii="Times New Roman" w:hAnsi="Times New Roman"/>
        </w:rPr>
        <w:t>6. Gegen-Angriffspunkte (interne Risikobewertung)</w:t>
      </w:r>
    </w:p>
    <w:p>
      <w:pPr>
        <w:pStyle w:val="ListBullet"/>
      </w:pPr>
      <w:r>
        <w:rPr>
          <w:b/>
        </w:rPr>
        <w:t>Verbreitung des Videos</w:t>
      </w:r>
      <w:r>
        <w:t>: Wenn die Mandantenschülerin selbst das Video verbreitet hat, ist das eine gravierende Verfehlung (KUG, § 201a StGB, ggf. § 33 KUG / § 22 KUG).</w:t>
      </w:r>
    </w:p>
    <w:p>
      <w:pPr>
        <w:pStyle w:val="ListBullet"/>
      </w:pPr>
      <w:r>
        <w:rPr>
          <w:b/>
        </w:rPr>
        <w:t>Vorgeschichte</w:t>
      </w:r>
      <w:r>
        <w:t>: gibt es frühere Vorfälle (Verwarnungen, Konferenzbeschlüsse)? Eskalationskette ist für Verhältnismäßigkeit entscheidend.</w:t>
      </w:r>
    </w:p>
    <w:p>
      <w:pPr>
        <w:pStyle w:val="ListBullet"/>
      </w:pPr>
      <w:r>
        <w:rPr>
          <w:b/>
        </w:rPr>
        <w:t>Beweislage zur Mobbing-Handlung</w:t>
      </w:r>
      <w:r>
        <w:t>: Schule wird Zeugenaussagen vorbringen — gegenkonkret befragen.</w:t>
      </w:r>
    </w:p>
    <w:p>
      <w:pPr>
        <w:pStyle w:val="ListBullet"/>
      </w:pPr>
      <w:r>
        <w:rPr>
          <w:b/>
        </w:rPr>
        <w:t>Schwere des Vorfalls</w:t>
      </w:r>
      <w:r>
        <w:t>: Wenn die Aufgenommene Person psychisch geschädigt ist, kann das Maßnahmenschwere rechtfertigen.</w:t>
      </w:r>
    </w:p>
    <w:p>
      <w:pPr>
        <w:pStyle w:val="Heading3"/>
      </w:pPr>
      <w:r>
        <w:rPr>
          <w:rFonts w:ascii="Times New Roman" w:hAnsi="Times New Roman"/>
        </w:rPr>
        <w:t>7. Schnittstelle zur Ganztagsbetreuung</w:t>
      </w:r>
    </w:p>
    <w:p>
      <w:pPr>
        <w:pStyle w:val="ListBullet"/>
      </w:pPr>
      <w:r>
        <w:rPr>
          <w:b/>
        </w:rPr>
        <w:t>Anspruch auf Ganztagsbetreuung</w:t>
      </w:r>
      <w:r>
        <w:t xml:space="preserve"> je nach Landesrecht prüfen.</w:t>
      </w:r>
    </w:p>
    <w:p>
      <w:pPr>
        <w:pStyle w:val="ListBullet"/>
      </w:pPr>
      <w:r>
        <w:rPr>
          <w:b/>
        </w:rPr>
        <w:t>Wegfall durch Unterrichtsausschluss</w:t>
      </w:r>
      <w:r>
        <w:t>: Mit dem Ausschluss entfällt regelmäßig auch die Ganztagsbetreuung. Folge: Eltern müssen Betreuung organisieren, was bei beidseitiger Berufstätigkeit gravierend ist.</w:t>
      </w:r>
    </w:p>
    <w:p>
      <w:pPr>
        <w:pStyle w:val="ListBullet"/>
      </w:pPr>
      <w:r>
        <w:rPr>
          <w:b/>
        </w:rPr>
        <w:t>Argument für Anordnungsgrund</w:t>
      </w:r>
      <w:r>
        <w:t xml:space="preserve"> im Eilrechtsschutz: Vereinbarkeit Familie und Beruf.</w:t>
      </w:r>
    </w:p>
    <w:p>
      <w:pPr>
        <w:pStyle w:val="Heading2"/>
      </w:pPr>
      <w:r>
        <w:rPr>
          <w:rFonts w:ascii="Times New Roman" w:hAnsi="Times New Roman"/>
        </w:rPr>
        <w:t>Sofortmaßnahmen (heute)</w:t>
      </w:r>
    </w:p>
    <w:p>
      <w:pPr>
        <w:pStyle w:val="ListNumber"/>
      </w:pPr>
      <w:r>
        <w:rPr>
          <w:b/>
        </w:rPr>
        <w:t>Akteneinsichtsantrag</w:t>
      </w:r>
      <w:r>
        <w:t xml:space="preserve"> schriftlich an die Schulleitung, mit Bitte um Termin binnen 5 Werktagen.</w:t>
      </w:r>
    </w:p>
    <w:p>
      <w:pPr>
        <w:pStyle w:val="ListNumber"/>
      </w:pPr>
      <w:r>
        <w:rPr>
          <w:b/>
        </w:rPr>
        <w:t>Widerspruch</w:t>
      </w:r>
      <w:r>
        <w:t xml:space="preserve"> gegen den Unterrichtsausschluss vorbereiten (Vorlage in 48 Stunden).</w:t>
      </w:r>
    </w:p>
    <w:p>
      <w:pPr>
        <w:pStyle w:val="ListNumber"/>
      </w:pPr>
      <w:r>
        <w:rPr>
          <w:b/>
        </w:rPr>
        <w:t>Eilantrag § 80 Abs. 5 VwGO</w:t>
      </w:r>
      <w:r>
        <w:t xml:space="preserve"> fertig zum Einreichen, sobald das Schreiben der Schulleitung formal als Verwaltungsakt vollziehbar ist.</w:t>
      </w:r>
    </w:p>
    <w:p>
      <w:pPr>
        <w:pStyle w:val="ListNumber"/>
      </w:pPr>
      <w:r>
        <w:rPr>
          <w:b/>
        </w:rPr>
        <w:t>Externes Gutachten</w:t>
      </w:r>
      <w:r>
        <w:t xml:space="preserve"> schulpsychologisch / kinder- und jugendpsychiatrisch zur Wechselwirkung ADHS / Verhaltensauffälligkeit.</w:t>
      </w:r>
    </w:p>
    <w:p>
      <w:pPr>
        <w:pStyle w:val="ListNumber"/>
      </w:pPr>
      <w:r>
        <w:rPr>
          <w:b/>
        </w:rPr>
        <w:t>Sicherung des Handyvideos</w:t>
      </w:r>
      <w:r>
        <w:t xml:space="preserve"> und der Chat-Verläufe — Forensik durch unabhängige Stelle, um Verfälschung auszuschließen.</w:t>
      </w:r>
    </w:p>
    <w:p>
      <w:pPr>
        <w:pStyle w:val="ListNumber"/>
      </w:pPr>
      <w:r>
        <w:rPr>
          <w:b/>
        </w:rPr>
        <w:t>Mandantin Schülerin</w:t>
      </w:r>
      <w:r>
        <w:t xml:space="preserve"> und Eltern: detaillierte Sachverhaltsschilderung schriftlich, mit Versionsstand vor und nach dem Vorfall.</w:t>
      </w:r>
    </w:p>
    <w:p>
      <w:pPr>
        <w:pStyle w:val="ListNumber"/>
      </w:pPr>
      <w:r>
        <w:rPr>
          <w:b/>
        </w:rPr>
        <w:t>Gespräch Schulleitung</w:t>
      </w:r>
      <w:r>
        <w:t xml:space="preserve"> als Vorbereitung einer einvernehmlichen Lösung (Mediation, Konfliktgespräch) als Alternative zum gerichtlichen Verfahren.</w:t>
      </w:r>
    </w:p>
    <w:p>
      <w:pPr>
        <w:pStyle w:val="Heading2"/>
      </w:pPr>
      <w:r>
        <w:rPr>
          <w:rFonts w:ascii="Times New Roman" w:hAnsi="Times New Roman"/>
        </w:rPr>
        <w:t>Risiken transparent benennen</w:t>
      </w:r>
    </w:p>
    <w:p>
      <w:pPr>
        <w:pStyle w:val="ListBullet"/>
      </w:pPr>
      <w:r>
        <w:t>Schulrechtliche Eilrechtsschutzverfahren werden teils restriktiv beschieden; Verwaltungsgerichte respektieren den weiten Beurteilungsspielraum der Schule.</w:t>
      </w:r>
    </w:p>
    <w:p>
      <w:pPr>
        <w:pStyle w:val="ListBullet"/>
      </w:pPr>
      <w:r>
        <w:t>Bei nachgewiesener Verbreitung des Videos durch die Mandantenschülerin sinken die Erfolgsaussichten erheblich.</w:t>
      </w:r>
    </w:p>
    <w:p>
      <w:pPr>
        <w:pStyle w:val="ListBullet"/>
      </w:pPr>
      <w:r>
        <w:t>Bei Bestätigung des Unterrichtsausschlusses ist die Schulleistungslücke ggf. nicht mehr aufholbar.</w:t>
      </w:r>
    </w:p>
    <w:p>
      <w:pPr>
        <w:pStyle w:val="ListBullet"/>
      </w:pPr>
      <w:r>
        <w:t>Kosten: Eilverfahren ca. 1.500-3.000 EUR; Hauptsache zusätzlich 2.500-5.000 EUR. Rechtsschutzversicherung der Eltern prüfen.</w:t>
      </w:r>
    </w:p>
    <w:sectPr w:rsidR="00FC693F" w:rsidRPr="0006063C" w:rsidSect="00034616"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 w:ascii="Times New Roman" w:hAnsi="Times New Roman"/>
      <w:b/>
      <w:bCs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 w:ascii="Times New Roman" w:hAnsi="Times New Roman"/>
      <w:b/>
      <w:bCs/>
      <w:sz w:val="24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 w:ascii="Times New Roman" w:hAnsi="Times New Roman"/>
      <w:b/>
      <w:bCs/>
      <w:sz w:val="22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