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Schulakte Inklusion, Ordnungsmaßnahme und Schulwechsel</w:t>
      </w:r>
    </w:p>
    <w:p>
      <w:pPr>
        <w:pStyle w:val="Heading2"/>
      </w:pPr>
      <w:r>
        <w:rPr>
          <w:rFonts w:ascii="Times New Roman" w:hAnsi="Times New Roman"/>
        </w:rPr>
        <w:t>Vollständige Gesprächsnotiz</w:t>
      </w:r>
    </w:p>
    <w:p>
      <w:pPr>
        <w:jc w:val="left"/>
      </w:pPr>
      <w:r>
        <w:t>Am 04.06.2026 schilderte Schüler Oskar Lindenhof, seine Mutter Jantje und die Schulleitung der Tucholsky-Schule die Angelegenheit in einem längeren Telefonat. Gegenstand ist Konflikt um Schulbegleitung, Unterrichtsausschluss nach Pausenhofvorfall, drohender Schulwechsel und fehlende Förderplanfortschreibung.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Oskar hat einen anerkannten Unterstützungsbedarf. Nach einem Streit um ein Tablet wurde er für drei Tage ausgeschlossen. Die Schule behauptet Überforderung der Klasse; die Mutter verweist auf ausgefallene Schulbegleitung und fehlende Krisenabsprachen.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der Mutter an Schulaufsicht und Kanzlei</w:t>
      </w:r>
    </w:p>
    <w:p>
      <w:pPr>
        <w:jc w:val="left"/>
      </w:pPr>
      <w:r>
        <w:t>```</w:t>
      </w:r>
    </w:p>
    <w:p>
      <w:pPr>
        <w:jc w:val="left"/>
      </w:pPr>
      <w:r>
        <w:t>Von:      jantje.lindenhof@testmail.test</w:t>
      </w:r>
    </w:p>
    <w:p>
      <w:pPr>
        <w:jc w:val="left"/>
      </w:pPr>
      <w:r>
        <w:t>An:       schulaufsicht@bezirk.test; kanzlei@schulrecht.test</w:t>
      </w:r>
    </w:p>
    <w:p>
      <w:pPr>
        <w:jc w:val="left"/>
      </w:pPr>
      <w:r>
        <w:t>Datum:    Do 04.06.2026, 08:47 Uhr</w:t>
      </w:r>
    </w:p>
    <w:p>
      <w:pPr>
        <w:jc w:val="left"/>
      </w:pPr>
      <w:r>
        <w:t>Betreff:  Oskar soll wechseln - Förderplan wurde nie angepasst</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trennen Sie Inklusionsanspruch, Ordnungsmaßnahme, Kindeswohl, Schulorganisation und Eilrechtsschutz.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Schüler Oskar Lindenhof, seine Mutter Jantje und die Schulleitung der Tucholsky-Schule</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Antrag auf Akteneinsicht und Zwischenlösung</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