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Neurodivergenz und Arbeit</w:t>
      </w:r>
    </w:p>
    <w:p>
      <w:pPr>
        <w:pStyle w:val="Heading2"/>
      </w:pPr>
      <w:r>
        <w:rPr>
          <w:rFonts w:ascii="Times New Roman" w:hAnsi="Times New Roman"/>
        </w:rPr>
        <w:t>1. Mandant</w:t>
      </w:r>
    </w:p>
    <w:p>
      <w:pPr>
        <w:jc w:val="left"/>
      </w:pPr>
      <w:r>
        <w:t>Mandant ist Julian Arendt, geboren am 28.07.1988, technischer Zeichner bei Bergische Anlagenbau GmbH in Wuppertal. Spätdiagnose Autismus-Spektrum-Störung 2025, zusätzlich ADHS, rezidivierende depressive Episoden. Bisher GdB 30, kein Merkzeichen.</w:t>
      </w:r>
    </w:p>
    <w:p>
      <w:pPr>
        <w:pStyle w:val="Heading2"/>
      </w:pPr>
      <w:r>
        <w:rPr>
          <w:rFonts w:ascii="Times New Roman" w:hAnsi="Times New Roman"/>
        </w:rPr>
        <w:t>2. Anlass</w:t>
      </w:r>
    </w:p>
    <w:p>
      <w:pPr>
        <w:jc w:val="left"/>
      </w:pPr>
      <w:r>
        <w:t>Änderungsantrag vom 11.03.2026 wurde mit Bescheid vom 19.06.2026 abgelehnt. GdB 30 bleibt. Der Arbeitgeber kündigt ein BEM an; Teamleitung dokumentiert Konflikte wegen Telefonbereitschaft, Großraumbüro und spontaner Prioritätenwechsel. Mandant befürchtet Kündigung.</w:t>
      </w:r>
    </w:p>
    <w:p>
      <w:pPr>
        <w:pStyle w:val="Heading2"/>
      </w:pPr>
      <w:r>
        <w:rPr>
          <w:rFonts w:ascii="Times New Roman" w:hAnsi="Times New Roman"/>
        </w:rPr>
        <w:t>3. Rentenberaterliche Perspektive</w:t>
      </w:r>
    </w:p>
    <w:p>
      <w:pPr>
        <w:jc w:val="left"/>
      </w:pPr>
      <w:r>
        <w:t>Primär Schwerbehindertenrecht und Teilhabe. Parallel prüfen: Gleichstellung über Agentur für Arbeit, Leistungen zur Teilhabe am Arbeitsleben, medizinische Rehabilitation und nur als Fernpunkt Erwerbsminderungsrente. Arbeitsrechtliche Kündigungsverteidigung separat koordinieren.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