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GdB 30</w:t>
      </w:r>
    </w:p>
    <w:p>
      <w:pPr>
        <w:pStyle w:val="Heading2"/>
      </w:pPr>
      <w:r>
        <w:rPr>
          <w:rFonts w:ascii="Times New Roman" w:hAnsi="Times New Roman"/>
        </w:rPr>
        <w:t>1. Entscheidung</w:t>
      </w:r>
    </w:p>
    <w:p>
      <w:pPr>
        <w:jc w:val="left"/>
      </w:pPr>
      <w:r>
        <w:t>Das Versorgungsamt Wuppertal stellt weiterhin GdB 30 fest. Begründung: Die psychische Beeinträchtigung sei fachärztlich bestätigt, jedoch bei stabiler Erwerbstätigkeit und ambulanter Behandlung nicht so ausgeprägt, dass ein höherer Gesamt-GdB gerechtfertigt sei.</w:t>
      </w:r>
    </w:p>
    <w:p>
      <w:pPr>
        <w:pStyle w:val="Heading2"/>
      </w:pPr>
      <w:r>
        <w:rPr>
          <w:rFonts w:ascii="Times New Roman" w:hAnsi="Times New Roman"/>
        </w:rPr>
        <w:t>2. Ausgelassene Punkte</w:t>
      </w:r>
    </w:p>
    <w:p>
      <w:pPr>
        <w:jc w:val="left"/>
      </w:pPr>
      <w:r>
        <w:t>Der Bescheid erwähnt keine Arbeitsplatzanpassungen, keine sensorische Überforderung, keine dokumentierten Meltdowns und keine stationäre Krisenintervention im Januar 2026. Der Bericht der Autismusambulanz wurde offenbar nur als Diagnosebestätigung gelesen, nicht als Funktionsbeschreibung.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