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Bericht Autismusambulanz</w:t>
      </w:r>
    </w:p>
    <w:p>
      <w:pPr>
        <w:pStyle w:val="Heading2"/>
      </w:pPr>
      <w:r>
        <w:rPr>
          <w:rFonts w:ascii="Times New Roman" w:hAnsi="Times New Roman"/>
        </w:rPr>
        <w:t>1. Diagnostik</w:t>
      </w:r>
    </w:p>
    <w:p>
      <w:pPr>
        <w:jc w:val="left"/>
      </w:pPr>
      <w:r>
        <w:t>Autismusambulanz Rheinland, Bericht 04.05.2026. Diagnose Autismus-Spektrum-Störung ohne Intelligenzminderung, ADHS kombiniert, ausgeprägte sensorische Reizempfindlichkeit, Schwierigkeiten in spontaner sozialer Kommunikation und im Aufgabenwechsel.</w:t>
      </w:r>
    </w:p>
    <w:p>
      <w:pPr>
        <w:pStyle w:val="Heading2"/>
      </w:pPr>
      <w:r>
        <w:rPr>
          <w:rFonts w:ascii="Times New Roman" w:hAnsi="Times New Roman"/>
        </w:rPr>
        <w:t>2. Teilhabe</w:t>
      </w:r>
    </w:p>
    <w:p>
      <w:pPr>
        <w:jc w:val="left"/>
      </w:pPr>
      <w:r>
        <w:t>Der Mandant kann hochkonzentriert zeichnen, wenn Aufgaben klar, schriftlich und reizarm sind. Er dekompensiert bei Telefonketten, parallelen Zurufen, wechselnden Prioritäten und unklarer Kritik. Nach solchen Tagen folgen Schlaflosigkeit, Migräne und Ausfallzeiten.</w:t>
      </w:r>
    </w:p>
    <w:p>
      <w:pPr>
        <w:pStyle w:val="Heading2"/>
      </w:pPr>
      <w:r>
        <w:rPr>
          <w:rFonts w:ascii="Times New Roman" w:hAnsi="Times New Roman"/>
        </w:rPr>
        <w:t>3. Empfehlung</w:t>
      </w:r>
    </w:p>
    <w:p>
      <w:pPr>
        <w:jc w:val="left"/>
      </w:pPr>
      <w:r>
        <w:t>Reizarmer Arbeitsplatz, schriftliche Aufgabensteuerung, keine spontane Telefonvertretung, feste Rückzugszeiten, Jobcoaching. Die Ambulanz hält arbeitsbezogene Teilhabemaßnahmen für dringlich.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