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Widerspruchsentwurf GdB</w:t>
      </w:r>
    </w:p>
    <w:p>
      <w:pPr>
        <w:pStyle w:val="Heading2"/>
      </w:pPr>
      <w:r>
        <w:rPr>
          <w:rFonts w:ascii="Times New Roman" w:hAnsi="Times New Roman"/>
        </w:rPr>
        <w:t>1. Antrag</w:t>
      </w:r>
    </w:p>
    <w:p>
      <w:pPr>
        <w:jc w:val="left"/>
      </w:pPr>
      <w:r>
        <w:t>Gegen den Bescheid vom 19.06.2026 wird Widerspruch eingelegt. Beantragt wird die Neufeststellung des GdB unter vollständiger Würdigung der psychischen und neuroentwicklungsbezogenen Funktionsbeeinträchtigungen.</w:t>
      </w:r>
    </w:p>
    <w:p>
      <w:pPr>
        <w:pStyle w:val="Heading2"/>
      </w:pPr>
      <w:r>
        <w:rPr>
          <w:rFonts w:ascii="Times New Roman" w:hAnsi="Times New Roman"/>
        </w:rPr>
        <w:t>2. Begründung</w:t>
      </w:r>
    </w:p>
    <w:p>
      <w:pPr>
        <w:jc w:val="left"/>
      </w:pPr>
      <w:r>
        <w:t>Die Erwerbstätigkeit allein belegt keine geringe Teilhabebeeinträchtigung. Sie gelingt nur unter erheblicher Kompensation und bricht bei Reizüberlastung, Aufgabenwechsel und sozialer Unklarheit wiederholt zusammen. Die Behörde hat die Funktionsauswirkungen im Arbeitsleben und Alltag nicht vollständig erhoben.</w:t>
      </w:r>
    </w:p>
    <w:p>
      <w:pPr>
        <w:pStyle w:val="Heading2"/>
      </w:pPr>
      <w:r>
        <w:rPr>
          <w:rFonts w:ascii="Times New Roman" w:hAnsi="Times New Roman"/>
        </w:rPr>
        <w:t>3. Beweismittel</w:t>
      </w:r>
    </w:p>
    <w:p>
      <w:pPr>
        <w:jc w:val="left"/>
      </w:pPr>
      <w:r>
        <w:t>Bericht Autismusambulanz, psychiatrischer Befund, BEM-Unterlagen, Fehlzeitenübersicht, Reizprotokoll, Stellungnahme einer Vertrauensperson. Ergänzend wird eine versorgungsmedizinische Begutachtung angeregt, die nicht nur Gesprächsfähigkeit im Termin bewertet.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