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Gleichstellung, Reha und Rente</w:t>
      </w:r>
    </w:p>
    <w:p>
      <w:pPr>
        <w:pStyle w:val="Heading2"/>
      </w:pPr>
      <w:r>
        <w:rPr>
          <w:rFonts w:ascii="Times New Roman" w:hAnsi="Times New Roman"/>
        </w:rPr>
        <w:t>1. Gleichstellung</w:t>
      </w:r>
    </w:p>
    <w:p>
      <w:pPr>
        <w:jc w:val="left"/>
      </w:pPr>
      <w:r>
        <w:t>Bei GdB 30 kann eine Gleichstellung relevant sein, wenn der Arbeitsplatz wegen der Behinderung gefährdet ist. Die BEM-Unterlagen und Teamnotizen stützen diese Prüfung. Die Antragstellung bei der Agentur für Arbeit muss mit dem GdB-Widerspruch abgestimmt werden.</w:t>
      </w:r>
    </w:p>
    <w:p>
      <w:pPr>
        <w:pStyle w:val="Heading2"/>
      </w:pPr>
      <w:r>
        <w:rPr>
          <w:rFonts w:ascii="Times New Roman" w:hAnsi="Times New Roman"/>
        </w:rPr>
        <w:t>2. Teilhabe am Arbeitsleben</w:t>
      </w:r>
    </w:p>
    <w:p>
      <w:pPr>
        <w:jc w:val="left"/>
      </w:pPr>
      <w:r>
        <w:t>Jobcoaching, technische und organisatorische Anpassungen, Einzelbüro oder Homeoffice-Anteil sind vorrangig vor Rentendiskussion. Der Rentenberater sollte den Versicherungsverlauf sichern, aber eine Erwerbsminderungsrente erst prüfen, wenn Teilhabemaßnahmen scheitern oder ärztlich nicht ausreichen.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