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Onkologie und GdB</w:t>
      </w:r>
    </w:p>
    <w:p>
      <w:pPr>
        <w:pStyle w:val="Heading2"/>
      </w:pPr>
      <w:r>
        <w:rPr>
          <w:rFonts w:ascii="Times New Roman" w:hAnsi="Times New Roman"/>
        </w:rPr>
        <w:t>1. Mandantin</w:t>
      </w:r>
    </w:p>
    <w:p>
      <w:pPr>
        <w:jc w:val="left"/>
      </w:pPr>
      <w:r>
        <w:t>Mandantin ist Doreen Kahl, geboren am 30.05.1976, Verkäuferin in einer Buchhandlung in Rostock. Brustkrebs links 2019, Operation, Chemotherapie, Bestrahlung. GdB 50 wurde damals befristet festgestellt und 2024 nach Ablauf der Heilungsbewährung auf 30 herabgesetzt. Seit Februar 2026 Rezidiv in axillären Lymphknoten, erneute Therapie.</w:t>
      </w:r>
    </w:p>
    <w:p>
      <w:pPr>
        <w:pStyle w:val="Heading2"/>
      </w:pPr>
      <w:r>
        <w:rPr>
          <w:rFonts w:ascii="Times New Roman" w:hAnsi="Times New Roman"/>
        </w:rPr>
        <w:t>2. Verfahren</w:t>
      </w:r>
    </w:p>
    <w:p>
      <w:pPr>
        <w:jc w:val="left"/>
      </w:pPr>
      <w:r>
        <w:t>Änderungsantrag 18.03.2026. Bescheid 16.06.2026: Gesamt-GdB 40, keine Schwerbehinderteneigenschaft. Begründung: Therapie laufe, Funktionsfolgen noch nicht dauerhaft beurteilbar. Zugang 19.06.2026, Widerspruchsfrist bis 19.07.2026.</w:t>
      </w:r>
    </w:p>
    <w:p>
      <w:pPr>
        <w:pStyle w:val="Heading2"/>
      </w:pPr>
      <w:r>
        <w:rPr>
          <w:rFonts w:ascii="Times New Roman" w:hAnsi="Times New Roman"/>
        </w:rPr>
        <w:t>3. Auftrag</w:t>
      </w:r>
    </w:p>
    <w:p>
      <w:pPr>
        <w:jc w:val="left"/>
      </w:pPr>
      <w:r>
        <w:t>Widerspruch, vollständige Befundsammlung, Prüfung vorläufiger Nachteilsausgleiche und Abstimmung mit Arbeitsunfähigkeit, Krankengeld, Reha und möglicher Erwerbsminderung. Das Ergebnis offen halten: Es geht um Funktionsfolgen, Rezidivlage und Zeitraum, nicht um eine automatische Dauerfeststellung.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