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Onkologiebericht</w:t>
      </w:r>
    </w:p>
    <w:p>
      <w:pPr>
        <w:pStyle w:val="Heading2"/>
      </w:pPr>
      <w:r>
        <w:rPr>
          <w:rFonts w:ascii="Times New Roman" w:hAnsi="Times New Roman"/>
        </w:rPr>
        <w:t>1. Diagnose und Verlauf</w:t>
      </w:r>
    </w:p>
    <w:p>
      <w:pPr>
        <w:jc w:val="left"/>
      </w:pPr>
      <w:r>
        <w:t>Onkologisches Zentrum Rostock, Bericht 10.06.2026. Lokal-regionales Rezidiv Mammakarzinom links, axilläre Lymphknoten, Hormonrezeptor positiv, HER2 negativ. Therapie: Operation 04.04.2026, adjuvante Chemotherapie ab 12.05.2026, anschließend Bestrahlung und endokrine Therapie geplant.</w:t>
      </w:r>
    </w:p>
    <w:p>
      <w:pPr>
        <w:pStyle w:val="Heading2"/>
      </w:pPr>
      <w:r>
        <w:rPr>
          <w:rFonts w:ascii="Times New Roman" w:hAnsi="Times New Roman"/>
        </w:rPr>
        <w:t>2. Funktionsfolgen</w:t>
      </w:r>
    </w:p>
    <w:p>
      <w:pPr>
        <w:jc w:val="left"/>
      </w:pPr>
      <w:r>
        <w:t>Lymphödem linker Arm Grad 2, Bewegungseinschränkung Schulter links, ausgeprägte Fatigue, Polyneuropathie an Fingern nach erster Chemogabe, Übelkeit, Schlafstörungen. Ärztliche Empfehlung: keine stehende Vollzeittätigkeit, keine Lasten über 5 kg links, Reha nach Abschluss der Bestrahlung.</w:t>
      </w:r>
    </w:p>
    <w:p>
      <w:pPr>
        <w:pStyle w:val="Heading2"/>
      </w:pPr>
      <w:r>
        <w:rPr>
          <w:rFonts w:ascii="Times New Roman" w:hAnsi="Times New Roman"/>
        </w:rPr>
        <w:t>3. Prognose</w:t>
      </w:r>
    </w:p>
    <w:p>
      <w:pPr>
        <w:jc w:val="left"/>
      </w:pPr>
      <w:r>
        <w:t>Therapie kurativ intendiert, Rückfallrisiko erhöht. Die Ärztin bittet um Berücksichtigung der erneuten Erkrankung und der gegenwärtigen Therapiebelastung.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