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GdB 40</w:t>
      </w:r>
    </w:p>
    <w:p>
      <w:pPr>
        <w:pStyle w:val="Heading2"/>
      </w:pPr>
      <w:r>
        <w:rPr>
          <w:rFonts w:ascii="Times New Roman" w:hAnsi="Times New Roman"/>
        </w:rPr>
        <w:t>1. Entscheidung</w:t>
      </w:r>
    </w:p>
    <w:p>
      <w:pPr>
        <w:jc w:val="left"/>
      </w:pPr>
      <w:r>
        <w:t>Das Landesamt stellt einen Gesamt-GdB von 40 ab 18.03.2026 fest. Eine Schwerbehinderteneigenschaft wird nicht anerkannt.</w:t>
      </w:r>
    </w:p>
    <w:p>
      <w:pPr>
        <w:pStyle w:val="Heading2"/>
      </w:pPr>
      <w:r>
        <w:rPr>
          <w:rFonts w:ascii="Times New Roman" w:hAnsi="Times New Roman"/>
        </w:rPr>
        <w:t>2. Begründung</w:t>
      </w:r>
    </w:p>
    <w:p>
      <w:pPr>
        <w:jc w:val="left"/>
      </w:pPr>
      <w:r>
        <w:t>Die Behörde bewertet Brustkrebserkrankung nach Rezidiv und Therapiebelastung mit Einzel-GdB 40, Lymphödem mit 20 und psychische Belastung mit 10. Eine höhere Bewertung sei wegen noch nicht abgeschlossener Behandlung nicht möglich.</w:t>
      </w:r>
    </w:p>
    <w:p>
      <w:pPr>
        <w:pStyle w:val="Heading2"/>
      </w:pPr>
      <w:r>
        <w:rPr>
          <w:rFonts w:ascii="Times New Roman" w:hAnsi="Times New Roman"/>
        </w:rPr>
        <w:t>3. Auffälligkeit</w:t>
      </w:r>
    </w:p>
    <w:p>
      <w:pPr>
        <w:jc w:val="left"/>
      </w:pPr>
      <w:r>
        <w:t>Die Behörde verwendet die laufende Therapie zugleich als Anerkennungsgrund und als Begrenzung. Der Onkologiebericht zur Rezidivsituation und die konkreten Einschränkungen im Armgebrauch werden nicht erkennbar vertieft.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