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Arbeitgebernotiz Buchhandlung</w:t>
      </w:r>
    </w:p>
    <w:p>
      <w:pPr>
        <w:pStyle w:val="Heading2"/>
      </w:pPr>
      <w:r>
        <w:rPr>
          <w:rFonts w:ascii="Times New Roman" w:hAnsi="Times New Roman"/>
        </w:rPr>
        <w:t>1. Tätigkeit</w:t>
      </w:r>
    </w:p>
    <w:p>
      <w:pPr>
        <w:jc w:val="left"/>
      </w:pPr>
      <w:r>
        <w:t>Doreen Kahl arbeitet normalerweise 30 Wochenstunden im Verkauf, Wareneingang und Veranstaltungsservice. Sie trägt Bücherkisten, räumt Regale, steht an der Kasse und betreut Lesungen.</w:t>
      </w:r>
    </w:p>
    <w:p>
      <w:pPr>
        <w:pStyle w:val="Heading2"/>
      </w:pPr>
      <w:r>
        <w:rPr>
          <w:rFonts w:ascii="Times New Roman" w:hAnsi="Times New Roman"/>
        </w:rPr>
        <w:t>2. Einschränkungen</w:t>
      </w:r>
    </w:p>
    <w:p>
      <w:pPr>
        <w:jc w:val="left"/>
      </w:pPr>
      <w:r>
        <w:t>Seit Mai 2026 sind Kistenheben, längeres Stehen und Abendveranstaltungen kaum möglich. Kolleginnen übernehmen Wareneingang. Die Arbeitgeberin bietet reduzierte Stunden, kann aber keine reine Sitzkasse garantieren.</w:t>
      </w:r>
    </w:p>
    <w:p>
      <w:pPr>
        <w:pStyle w:val="Heading2"/>
      </w:pPr>
      <w:r>
        <w:rPr>
          <w:rFonts w:ascii="Times New Roman" w:hAnsi="Times New Roman"/>
        </w:rPr>
        <w:t>3. Bedeutung</w:t>
      </w:r>
    </w:p>
    <w:p>
      <w:pPr>
        <w:jc w:val="left"/>
      </w:pPr>
      <w:r>
        <w:t>Die Notiz zeigt konkrete Teilhabefolgen. Für den GdB ist nicht der Arbeitsplatz allein maßgeblich, aber die Funktionsfolgen werden dadurch greifbar: Armgebrauch, Fatigue, Belastbarkeit, Infektionsschutz und Wege zu Therapie.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