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Widerspruchsentwurf GdB Krebsrezidiv</w:t>
      </w:r>
    </w:p>
    <w:p>
      <w:pPr>
        <w:pStyle w:val="Heading2"/>
      </w:pPr>
      <w:r>
        <w:rPr>
          <w:rFonts w:ascii="Times New Roman" w:hAnsi="Times New Roman"/>
        </w:rPr>
        <w:t>1. Antrag</w:t>
      </w:r>
    </w:p>
    <w:p>
      <w:pPr>
        <w:jc w:val="left"/>
      </w:pPr>
      <w:r>
        <w:t>Gegen den Bescheid vom 16.06.2026 wird Widerspruch eingelegt. Beantragt wird die Feststellung der Schwerbehinderteneigenschaft ab Antragstellung, hilfsweise erneute Entscheidung nach Beiziehung der vollständigen onkologischen Unterlagen.</w:t>
      </w:r>
    </w:p>
    <w:p>
      <w:pPr>
        <w:pStyle w:val="Heading2"/>
      </w:pPr>
      <w:r>
        <w:rPr>
          <w:rFonts w:ascii="Times New Roman" w:hAnsi="Times New Roman"/>
        </w:rPr>
        <w:t>2. Begründung</w:t>
      </w:r>
    </w:p>
    <w:p>
      <w:pPr>
        <w:jc w:val="left"/>
      </w:pPr>
      <w:r>
        <w:t>Die Behörde hat Rezidiv, laufende Systemtherapie, Lymphödem, Fatigue und konkrete Funktionsfolgen nicht hinreichend zusammengeführt. Gerade die erneute Erkrankung nach früherer Heilungsbewährung verlangt eine eigenständige Bewertung. Die laufende Therapie darf nicht pauschal gegen die Feststellung verwendet werden, wenn die Teilhabebeeinträchtigung bereits aktuell erheblich ist.</w:t>
      </w:r>
    </w:p>
    <w:p>
      <w:pPr>
        <w:pStyle w:val="Heading2"/>
      </w:pPr>
      <w:r>
        <w:rPr>
          <w:rFonts w:ascii="Times New Roman" w:hAnsi="Times New Roman"/>
        </w:rPr>
        <w:t>3. Beweismittel</w:t>
      </w:r>
    </w:p>
    <w:p>
      <w:pPr>
        <w:jc w:val="left"/>
      </w:pPr>
      <w:r>
        <w:t>Onkologiebericht, Therapiekalender, Lymphödemtherapie, Arbeitgebernotiz, Fotos Kompressionsversorgung, Befund Psychoonkologie und Reha-Antrag.</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