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Reha, Krankengeld und Rentenbezug</w:t>
      </w:r>
    </w:p>
    <w:p>
      <w:pPr>
        <w:pStyle w:val="Heading2"/>
      </w:pPr>
      <w:r>
        <w:rPr>
          <w:rFonts w:ascii="Times New Roman" w:hAnsi="Times New Roman"/>
        </w:rPr>
        <w:t>1. Gegenwärtige Leistungen</w:t>
      </w:r>
    </w:p>
    <w:p>
      <w:pPr>
        <w:jc w:val="left"/>
      </w:pPr>
      <w:r>
        <w:t>Die Mandantin bezieht Entgeltfortzahlung, danach voraussichtlich Krankengeld. Onkologische Reha ist nach Bestrahlung geplant. Versicherungsverlauf zeigt 31 Jahre Pflichtbeiträge, Kinderberücksichtigungszeiten und Teilzeitphasen.</w:t>
      </w:r>
    </w:p>
    <w:p>
      <w:pPr>
        <w:pStyle w:val="Heading2"/>
      </w:pPr>
      <w:r>
        <w:rPr>
          <w:rFonts w:ascii="Times New Roman" w:hAnsi="Times New Roman"/>
        </w:rPr>
        <w:t>2. Rentenberaterliche Prüfung</w:t>
      </w:r>
    </w:p>
    <w:p>
      <w:pPr>
        <w:jc w:val="left"/>
      </w:pPr>
      <w:r>
        <w:t>Kurzfristig steht GdB-Widerspruch und Reha im Vordergrund. Mittelfristig: Nahtlosigkeitsrisiko, Erwerbsminderungsrente nur bei fortbestehender Leistungsminderung, Altersrente schwerbehinderter Menschen wegen Alter noch fern. Die Dokumente sollten dennoch so sortiert werden, dass später keine Therapielücken und Funktionsfolgen verloren gehen.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