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Rentenfolge und Fristen</w:t>
      </w:r>
    </w:p>
    <w:p>
      <w:pPr>
        <w:pStyle w:val="Heading2"/>
      </w:pPr>
      <w:r>
        <w:rPr>
          <w:rFonts w:ascii="Times New Roman" w:hAnsi="Times New Roman"/>
        </w:rPr>
        <w:t>1. Altersrente für schwerbehinderte Menschen</w:t>
      </w:r>
    </w:p>
    <w:p>
      <w:pPr>
        <w:jc w:val="left"/>
      </w:pPr>
      <w:r>
        <w:t>Für die spätere Altersrente ist nicht nur der GdB im Alltag wichtig, sondern der Zeitpunkt der Feststellung und die Versicherungszeiten. Der Versicherungsverlauf zeigt nach erster Durchsicht 38 Jahre rentenrechtliche Zeiten, darunter Kinderberücksichtigungszeiten und Teilzeitbeschäftigung.</w:t>
      </w:r>
    </w:p>
    <w:p>
      <w:pPr>
        <w:pStyle w:val="Heading2"/>
      </w:pPr>
      <w:r>
        <w:rPr>
          <w:rFonts w:ascii="Times New Roman" w:hAnsi="Times New Roman"/>
        </w:rPr>
        <w:t>2. Arbeitsauftrag</w:t>
      </w:r>
    </w:p>
    <w:p>
      <w:pPr>
        <w:jc w:val="left"/>
      </w:pPr>
      <w:r>
        <w:t>Parallel zum Widerspruch: Versicherungsverlauf anfordern, Wartezeit prüfen, Rentenbeginnvarianten mit und ohne Schwerbehinderteneigenschaft berechnen, Abschläge darstellen. Der Widerspruch gegen den GdB darf aber nicht mit Rentenwünschen begründet werden, sondern mit Teilhabebeeinträchtigung.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