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pStyle w:val="Heading2"/>
      </w:pPr>
      <w:r>
        <w:rPr>
          <w:rFonts w:ascii="Times New Roman" w:hAnsi="Times New Roman"/>
        </w:rPr>
        <w:t>Beteiligte</w:t>
      </w:r>
    </w:p>
    <w:p>
      <w:pPr>
        <w:jc w:val="left"/>
      </w:pPr>
      <w:r>
        <w:t>Reederei Bernstein, Werft Elbstahl, finanzierende Bank, Versicherer, Hafenbehörde und Bermuda-Zweckgesellschaft.</w:t>
      </w:r>
    </w:p>
    <w:p>
      <w:pPr>
        <w:pStyle w:val="Heading2"/>
      </w:pPr>
      <w:r>
        <w:rPr>
          <w:rFonts w:ascii="Times New Roman" w:hAnsi="Times New Roman"/>
        </w:rPr>
        <w:t>Ausgeschriebener Aktenstand</w:t>
      </w:r>
    </w:p>
    <w:p>
      <w:pPr>
        <w:jc w:val="left"/>
      </w:pPr>
      <w:r>
        <w:t>Ein Schiff wird repariert, belastet, beschädigt und teilweise gesunken; Sicherheiten, Arrest, Wrackbeseitigung und ausländische Registerlage greifen ineinander.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Seehandelsrecht, Schiffshypothek, Arrest, HGB Seehandel, internationales Privatrecht, Haftungs- und Bergungsrecht.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