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Foto-Inventar und Notiz Verbraucherzentrale</w:t>
      </w:r>
    </w:p>
    <w:p>
      <w:pPr>
        <w:pStyle w:val="Heading2"/>
      </w:pPr>
      <w:r>
        <w:rPr>
          <w:rFonts w:ascii="Times New Roman" w:hAnsi="Times New Roman"/>
        </w:rPr>
        <w:t>Foto- und Video-Inventar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Datei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Aufnahmegerät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EXIF GPS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IMG_0421.jpg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19.04.2026, 08:51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Tischplatte von oben, helle Stellen sichtbar, Tageslicht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iPhone 12 mini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IMG_0422.jpg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19.04.2026, 08:52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Detail aufgequollene Stelle links, Maßband daneben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iPhone 12 mini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VID_0423.mp4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19.04.2026, 08:55, 0:24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Tasse auf Tischkante, Druck mit Finger, Tasse wackelt sichtbar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iPhone 12 mini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VID_0424.mp4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20.04.2026, 09:12, 0:18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Tisch von der Fensterseite, leichter Druck, Wackeln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iPhone 12 mini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IMG_0425.jpg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20.04.2026, 09:13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Detail Kantenrundung Fensterseite vs. Türseite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iPhone 12 mini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IMG_0489.jpg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21.04.2026, 17:22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Wasserwaage auf dem Boden, Bodenebenheit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iPhone 12 mini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IMG_0491.jpg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21.04.2026, 17:23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Wasserwaage auf der Tischplatte, Tischplatte uneben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iPhone 12 mini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IMG_0530.jpg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19.05.2026, 18:48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Tisch insgesamt, Übersicht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iPhone 12 mini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IMG_0531.jpg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19.05.2026, 19:11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Notiz Tischlermeister Hentschel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iPhone 12 mini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IMG_0532.jpg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19.05.2026, 19:13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Stahlkufe rechts hinten, Maßstab daneben, 3 mm zu kurz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iPhone 12 mini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</w:tbl>
    <w:p>
      <w:pPr>
        <w:jc w:val="left"/>
      </w:pPr>
      <w:r>
        <w:t>Alle Dateien liegen auf einem USB-Stick (Anlage K9) und zusätzlich in einem Cloud-Ordner (Zugriff per Link an das Gericht möglich).</w:t>
      </w:r>
    </w:p>
    <w:p>
      <w:pPr>
        <w:pStyle w:val="Heading2"/>
      </w:pPr>
      <w:r>
        <w:rPr>
          <w:rFonts w:ascii="Times New Roman" w:hAnsi="Times New Roman"/>
        </w:rPr>
        <w:t>Beschreibung der Detailfotos</w:t>
      </w:r>
    </w:p>
    <w:p>
      <w:pPr>
        <w:jc w:val="left"/>
      </w:pPr>
      <w:r>
        <w:rPr>
          <w:b/>
        </w:rPr>
        <w:t>IMG_0422 (aufgequollene Stelle links):</w:t>
      </w:r>
      <w:r>
        <w:t xml:space="preserve"> etwa 8 cm breit, 5 cm hoch, deutlich heller als das umgebende Holz, im Streiflicht leicht erhaben fühlbar (laut Frau Hohenstaufen ca. 0,5 mm). Maßband zeigt die Größenordnung.</w:t>
      </w:r>
    </w:p>
    <w:p>
      <w:pPr>
        <w:jc w:val="left"/>
      </w:pPr>
      <w:r>
        <w:rPr>
          <w:b/>
        </w:rPr>
        <w:t>IMG_0425 (Kantenrundung Vergleich):</w:t>
      </w:r>
      <w:r>
        <w:t xml:space="preserve"> linke Bildhälfte Fensterseite, sichtbar schärferer Übergang; rechte Bildhälfte Türseite, weicher gerundet. Lichtfarbe Tageslicht durch das Küchenfenster.</w:t>
      </w:r>
    </w:p>
    <w:p>
      <w:pPr>
        <w:jc w:val="left"/>
      </w:pPr>
      <w:r>
        <w:rPr>
          <w:b/>
        </w:rPr>
        <w:t>IMG_0489/0491 (Wasserwaage):</w:t>
      </w:r>
      <w:r>
        <w:t xml:space="preserve"> Boden: Wasserblase mittig zwischen den Marken (eben). Tischplatte an gleicher Stelle: Wasserblase deutlich nach rechts versetzt (Neigung sichtbar).</w:t>
      </w:r>
    </w:p>
    <w:p>
      <w:pPr>
        <w:jc w:val="left"/>
      </w:pPr>
      <w:r>
        <w:rPr>
          <w:b/>
        </w:rPr>
        <w:t>IMG_0532 (Stahlkufe):</w:t>
      </w:r>
      <w:r>
        <w:t xml:space="preserve"> Maßstab zeigt Bodenfreiheit der Kufenunterkante. Drei der vier Kufen berühren den Boden gleichmäßig. Die hintere rechte Kufe steht etwa 3 mm hoch. Wenn man auf die diagonal gegenüberliegende Ecke drückt, kippt der Tisch sichtbar in diese Richtung.</w:t>
      </w:r>
    </w:p>
    <w:p>
      <w:pPr>
        <w:pStyle w:val="Heading2"/>
      </w:pPr>
      <w:r>
        <w:rPr>
          <w:rFonts w:ascii="Times New Roman" w:hAnsi="Times New Roman"/>
        </w:rPr>
        <w:t>Notiz Telefongespräch Verbraucherzentrale Niedersachsen, 22. Mai 2026</w:t>
      </w:r>
    </w:p>
    <w:p>
      <w:pPr>
        <w:jc w:val="left"/>
      </w:pPr>
      <w:r>
        <w:t>Frau Hohenstaufen hat am 22. Mai 2026 die Hotline der Verbraucherzentrale Niedersachsen angerufen und um eine telefonische Ersteinschätzung gebeten. Beratungstermin in der Beratungsstelle Hannover-Mitte wurde für den 4. Juni 2026, 10:30 Uhr, vereinbart. Kostenpunkt: 20 EUR Erstberatungsgebühr.</w:t>
      </w:r>
    </w:p>
    <w:p>
      <w:pPr>
        <w:jc w:val="left"/>
      </w:pPr>
      <w:r>
        <w:t>Telefonische Vorabhinweise (kein Rechtsrat, nur Information laut Beraterin "M.S."):</w:t>
      </w:r>
    </w:p>
    <w:p>
      <w:pPr>
        <w:pStyle w:val="ListBullet"/>
      </w:pPr>
      <w:r>
        <w:t>Bei Mängeln greift kein vertraglicher Ausschluss des Rücktritts. Ein in AGB stehender Ausschluss der Rücknahme ist bei Mängeln in der Regel unwirksam.</w:t>
      </w:r>
    </w:p>
    <w:p>
      <w:pPr>
        <w:pStyle w:val="ListBullet"/>
      </w:pPr>
      <w:r>
        <w:t>Die Nacherfüllung muss durch den Verkäufer angeboten werden. Wer das verweigert, riskiert Rücktritt.</w:t>
      </w:r>
    </w:p>
    <w:p>
      <w:pPr>
        <w:pStyle w:val="ListBullet"/>
      </w:pPr>
      <w:r>
        <w:t>"Schmerzensgeld" für Ärger ist im Kaufrecht praktisch nie durchsetzbar.</w:t>
      </w:r>
    </w:p>
    <w:p>
      <w:pPr>
        <w:pStyle w:val="ListBullet"/>
      </w:pPr>
      <w:r>
        <w:t>Schaden für den Ersatztisch könnte als sogenannter Verzögerungs- oder Verzugsschaden in Frage kommen, ist aber von der Begründung abhängig.</w:t>
      </w:r>
    </w:p>
    <w:p>
      <w:pPr>
        <w:pStyle w:val="ListBullet"/>
      </w:pPr>
      <w:r>
        <w:t>Bei Streitwerten bis 5.000 EUR sei das Amtsgericht zuständig. Anwaltszwang besteht dort nicht.</w:t>
      </w:r>
    </w:p>
    <w:p>
      <w:pPr>
        <w:pStyle w:val="ListBullet"/>
      </w:pPr>
      <w:r>
        <w:t>Bei Inkasso unbedingt schriftlich der Forderung widersprechen.</w:t>
      </w:r>
    </w:p>
    <w:p>
      <w:pPr>
        <w:jc w:val="left"/>
      </w:pPr>
      <w:r>
        <w:t>Die Beraterin hat den schriftlichen Termin nochmals empfohlen, weil "die Klage ohne Anwalt zwar geht, aber typische Anfängerfehler oft Geld kosten".</w:t>
      </w:r>
    </w:p>
    <w:p>
      <w:pPr>
        <w:pStyle w:val="Heading2"/>
      </w:pPr>
      <w:r>
        <w:rPr>
          <w:rFonts w:ascii="Times New Roman" w:hAnsi="Times New Roman"/>
        </w:rPr>
        <w:t>Telefonnotiz Frau Hohenstaufen nach dem Gespräch</w:t>
      </w:r>
    </w:p>
    <w:p>
      <w:pPr>
        <w:ind w:left="567"/>
      </w:pPr>
      <w:r>
        <w:rPr>
          <w:i/>
        </w:rPr>
        <w:t>Soll ich vor der Klage nochmal eine Schlichtungsstelle anrufen? Die Beraterin hat das nicht erwähnt. Handwerkskammer? Innung? Ich frage am 4. Juni nochmal nach.</w:t>
      </w:r>
    </w:p>
    <w:p>
      <w:pPr>
        <w:pStyle w:val="Heading2"/>
      </w:pPr>
      <w:r>
        <w:rPr>
          <w:rFonts w:ascii="Times New Roman" w:hAnsi="Times New Roman"/>
        </w:rPr>
        <w:t>Weitere Belege</w:t>
      </w:r>
    </w:p>
    <w:p>
      <w:pPr>
        <w:pStyle w:val="ListBullet"/>
      </w:pPr>
      <w:r>
        <w:t>Quittung Baumarkt-Tisch vom 5. Mai 2026, OBI Hannover-Linden, Kassenzettel BON-2026-04413, Betrag 89,00 EUR.</w:t>
      </w:r>
    </w:p>
    <w:p>
      <w:pPr>
        <w:pStyle w:val="ListBullet"/>
      </w:pPr>
      <w:r>
        <w:t>Beleg Verbraucherzentrale-Terminbuchung (E-Mail-Bestätigung).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