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Internet-Recherche Frau Hohenstaufen (typische Selbstvertreter-Verwirrung)</w:t>
      </w:r>
    </w:p>
    <w:p>
      <w:pPr>
        <w:jc w:val="left"/>
      </w:pPr>
      <w:r>
        <w:t>Frau Hohenstaufen hat zwischen 14. Mai und 26. Mai 2026 selbst recherchiert. Die Notizen liegen handschriftlich auf einem A5-Block und teilweise als Screenshots vor. Die Recherche enthält bewusst widersprüchliche oder irreführende Treffer — das Plugin soll sie als solche erkennen und einordnen.</w:t>
      </w:r>
    </w:p>
    <w:p>
      <w:pPr>
        <w:pStyle w:val="Heading2"/>
      </w:pPr>
      <w:r>
        <w:rPr>
          <w:rFonts w:ascii="Times New Roman" w:hAnsi="Times New Roman"/>
        </w:rPr>
        <w:t>Treffer und persönliche Notizen</w:t>
      </w:r>
    </w:p>
    <w:p>
      <w:pPr>
        <w:jc w:val="left"/>
      </w:pPr>
      <w:r>
        <w:rPr>
          <w:b/>
        </w:rPr>
        <w:t>1. Ratgeber-Portal (Werbeseite einer Anwaltskanzlei in Frankfurt)</w:t>
      </w:r>
    </w:p>
    <w:p>
      <w:pPr>
        <w:ind w:left="567"/>
      </w:pPr>
      <w:r>
        <w:rPr>
          <w:i/>
        </w:rPr>
        <w:t>"Verbraucher haben bei Möbelkauf grundsätzlich 14 Tage Widerrufsrecht."</w:t>
      </w:r>
    </w:p>
    <w:p>
      <w:pPr>
        <w:jc w:val="left"/>
      </w:pPr>
      <w:r>
        <w:t>Notiz: Klingt gut, aber gilt das auch bei Maßmöbeln? Auf einer anderen Seite steht das genau anders herum.</w:t>
      </w:r>
    </w:p>
    <w:p>
      <w:pPr>
        <w:jc w:val="left"/>
      </w:pPr>
      <w:r>
        <w:rPr>
          <w:b/>
        </w:rPr>
        <w:t>2. Verbraucherportal</w:t>
      </w:r>
    </w:p>
    <w:p>
      <w:pPr>
        <w:ind w:left="567"/>
      </w:pPr>
      <w:r>
        <w:rPr>
          <w:i/>
        </w:rPr>
        <w:t>"Bei Verträgen über nach Kundenspezifikation angefertigte Waren besteht kein Widerrufsrecht."</w:t>
      </w:r>
    </w:p>
    <w:p>
      <w:pPr>
        <w:jc w:val="left"/>
      </w:pPr>
      <w:r>
        <w:t>Notiz: Also doch kein Widerruf. Aber Mängel sind nicht das gleiche wie Widerruf, oder?</w:t>
      </w:r>
    </w:p>
    <w:p>
      <w:pPr>
        <w:jc w:val="left"/>
      </w:pPr>
      <w:r>
        <w:rPr>
          <w:b/>
        </w:rPr>
        <w:t>3. Forum-Beitrag</w:t>
      </w:r>
    </w:p>
    <w:p>
      <w:pPr>
        <w:ind w:left="567"/>
      </w:pPr>
      <w:r>
        <w:rPr>
          <w:i/>
        </w:rPr>
        <w:t>"Du musst dem Verkäufer immer drei Nachbesserungsversuche zugestehen, sonst klappt der Rücktritt nicht."</w:t>
      </w:r>
    </w:p>
    <w:p>
      <w:pPr>
        <w:jc w:val="left"/>
      </w:pPr>
      <w:r>
        <w:t>Notiz: Drei? Die AGB sagen zwei. Mein Buch sagt zwei. Was stimmt?</w:t>
      </w:r>
    </w:p>
    <w:p>
      <w:pPr>
        <w:jc w:val="left"/>
      </w:pPr>
      <w:r>
        <w:rPr>
          <w:b/>
        </w:rPr>
        <w:t>4. Wikipedia-Artikel (Nacherfüllung)</w:t>
      </w:r>
    </w:p>
    <w:p>
      <w:pPr>
        <w:ind w:left="567"/>
      </w:pPr>
      <w:r>
        <w:rPr>
          <w:i/>
        </w:rPr>
        <w:t>"Im Kaufrecht sind dem Verkäufer in der Regel zwei Nacherfüllungsversuche zuzugestehen, bevor der Käufer zurücktreten kann; in begründeten Fällen kann auch eine einmalige Verweigerung der Nacherfüllung den Rücktritt rechtfertigen."</w:t>
      </w:r>
    </w:p>
    <w:p>
      <w:pPr>
        <w:jc w:val="left"/>
      </w:pPr>
      <w:r>
        <w:t>Notiz: Klingt nach Werkvertrag, nicht Kauf — bei Tisch nach Maß ist es Werkvertrag, oder? Frage ans Plugin.</w:t>
      </w:r>
    </w:p>
    <w:p>
      <w:pPr>
        <w:jc w:val="left"/>
      </w:pPr>
      <w:r>
        <w:rPr>
          <w:b/>
        </w:rPr>
        <w:t>5. Ratgeberbuch der Mutter, Auflage 2007</w:t>
      </w:r>
    </w:p>
    <w:p>
      <w:pPr>
        <w:ind w:left="567"/>
      </w:pPr>
      <w:r>
        <w:rPr>
          <w:i/>
        </w:rPr>
        <w:t>"Bei einem mangelhaften Tisch ist Schadensersatz statt Leistung zu fordern. Die Rüge muss unverzüglich erfolgen, spätestens binnen sieben Tagen."</w:t>
      </w:r>
    </w:p>
    <w:p>
      <w:pPr>
        <w:jc w:val="left"/>
      </w:pPr>
      <w:r>
        <w:t>Notiz: Sieben Tage steht auch in den AGB der Tischlerei. Steht das wirklich noch im Gesetz? Habe ich am 18./19./20. April gerügt — das wären 0/1/2 Tage. Reicht das?</w:t>
      </w:r>
    </w:p>
    <w:p>
      <w:pPr>
        <w:jc w:val="left"/>
      </w:pPr>
      <w:r>
        <w:rPr>
          <w:b/>
        </w:rPr>
        <w:t>6. Google-Treffer "Mahnbescheid abwenden"</w:t>
      </w:r>
    </w:p>
    <w:p>
      <w:pPr>
        <w:ind w:left="567"/>
      </w:pPr>
      <w:r>
        <w:rPr>
          <w:i/>
        </w:rPr>
        <w:t>"Widersprechen Sie der Mahnung schriftlich, sonst kann der Verkäufer einen Mahnbescheid beim Amtsgericht beantragen, gegen den Sie nur 14 Tage Widerspruchsfrist haben."</w:t>
      </w:r>
    </w:p>
    <w:p>
      <w:pPr>
        <w:jc w:val="left"/>
      </w:pPr>
      <w:r>
        <w:t>Notiz: Habe noch nicht schriftlich widersprochen. Muss ich dringend tun. Entwurfsbrief ist vorbereitet.</w:t>
      </w:r>
    </w:p>
    <w:p>
      <w:pPr>
        <w:jc w:val="left"/>
      </w:pPr>
      <w:r>
        <w:rPr>
          <w:b/>
        </w:rPr>
        <w:t>7. Werbung einer Online-Klagevorlage</w:t>
      </w:r>
    </w:p>
    <w:p>
      <w:pPr>
        <w:ind w:left="567"/>
      </w:pPr>
      <w:r>
        <w:rPr>
          <w:i/>
        </w:rPr>
        <w:t>"Erstellen Sie Ihre Klage in fünf Minuten. Nur 39,99 EUR."</w:t>
      </w:r>
    </w:p>
    <w:p>
      <w:pPr>
        <w:jc w:val="left"/>
      </w:pPr>
      <w:r>
        <w:t>Notiz: Skepsis. Lieber mit Plugin und Verbraucherzentrale arbeiten.</w:t>
      </w:r>
    </w:p>
    <w:p>
      <w:pPr>
        <w:jc w:val="left"/>
      </w:pPr>
      <w:r>
        <w:rPr>
          <w:b/>
        </w:rPr>
        <w:t>8. Beitrag eines Sozialverbands</w:t>
      </w:r>
    </w:p>
    <w:p>
      <w:pPr>
        <w:ind w:left="567"/>
      </w:pPr>
      <w:r>
        <w:rPr>
          <w:i/>
        </w:rPr>
        <w:t>"Bei einem Streit über 600 EUR oder weniger ist das Amtsgericht in einem vereinfachten Verfahren tätig. Die Verhandlung kann auch ohne mündlichen Termin erfolgen."</w:t>
      </w:r>
    </w:p>
    <w:p>
      <w:pPr>
        <w:jc w:val="left"/>
      </w:pPr>
      <w:r>
        <w:t>Notiz: § 495a ZPO laut Buch. Streit ist aber zwischen 620 EUR und 1.621 EUR, also möglicherweise über 600 EUR.</w:t>
      </w:r>
    </w:p>
    <w:p>
      <w:pPr>
        <w:jc w:val="left"/>
      </w:pPr>
      <w:r>
        <w:rPr>
          <w:b/>
        </w:rPr>
        <w:t>9. Beitrag eines Versicherungsportals</w:t>
      </w:r>
    </w:p>
    <w:p>
      <w:pPr>
        <w:ind w:left="567"/>
      </w:pPr>
      <w:r>
        <w:rPr>
          <w:i/>
        </w:rPr>
        <w:t>"Rechtsschutzversicherung kostet im Schnitt 25 EUR im Monat — und übernimmt im Streitfall die Anwalts- und Gerichtskosten."</w:t>
      </w:r>
    </w:p>
    <w:p>
      <w:pPr>
        <w:jc w:val="left"/>
      </w:pPr>
      <w:r>
        <w:t>Notiz: Habe keine. Zu spät jetzt. Vielleicht für die Zukunft.</w:t>
      </w:r>
    </w:p>
    <w:p>
      <w:pPr>
        <w:jc w:val="left"/>
      </w:pPr>
      <w:r>
        <w:rPr>
          <w:b/>
        </w:rPr>
        <w:t>10. PKH-Rechner</w:t>
      </w:r>
    </w:p>
    <w:p>
      <w:pPr>
        <w:ind w:left="567"/>
      </w:pPr>
      <w:r>
        <w:rPr>
          <w:i/>
        </w:rPr>
        <w:t>"Geben Sie Ihr monatliches Nettoeinkommen ein."</w:t>
      </w:r>
    </w:p>
    <w:p>
      <w:pPr>
        <w:jc w:val="left"/>
      </w:pPr>
      <w:r>
        <w:t>Notiz: Schwierig bei freiberuflichem Einkommen. Letzte zwölf Monate gemittelt: 2.040 EUR brutto, davon abzüglich Krankenversicherung und Steuer etwa 1.380 EUR netto. Miete 720 EUR. Möglicherweise Anspruch auf PKH, möglicherweise mit Ratenanordnung.</w:t>
      </w:r>
    </w:p>
    <w:p>
      <w:pPr>
        <w:pStyle w:val="Heading2"/>
      </w:pPr>
      <w:r>
        <w:rPr>
          <w:rFonts w:ascii="Times New Roman" w:hAnsi="Times New Roman"/>
        </w:rPr>
        <w:t>Eigene Fragen, die sich aus der Recherche ergeben</w:t>
      </w:r>
    </w:p>
    <w:p>
      <w:pPr>
        <w:pStyle w:val="ListBullet"/>
      </w:pPr>
      <w:r>
        <w:t>Ist das ein Kauf oder ein Werkvertrag?</w:t>
      </w:r>
    </w:p>
    <w:p>
      <w:pPr>
        <w:pStyle w:val="ListBullet"/>
      </w:pPr>
      <w:r>
        <w:t>Welche Frist gilt für die Rüge — sieben Tage AGB oder gesetzliche Frist?</w:t>
      </w:r>
    </w:p>
    <w:p>
      <w:pPr>
        <w:pStyle w:val="ListBullet"/>
      </w:pPr>
      <w:r>
        <w:t>Sind zwei oder drei Nachbesserungsversuche nötig, oder reicht eine ernsthafte Verweigerung?</w:t>
      </w:r>
    </w:p>
    <w:p>
      <w:pPr>
        <w:pStyle w:val="ListBullet"/>
      </w:pPr>
      <w:r>
        <w:t>Was bedeutet "Schadensersatz statt Leistung" konkret im Antrag?</w:t>
      </w:r>
    </w:p>
    <w:p>
      <w:pPr>
        <w:pStyle w:val="ListBullet"/>
      </w:pPr>
      <w:r>
        <w:t>Ist § 495a ZPO sinnvoll oder eher hinderlich (z.B. weil keine mündliche Verhandlung)?</w:t>
      </w:r>
    </w:p>
    <w:p>
      <w:pPr>
        <w:pStyle w:val="ListBullet"/>
      </w:pPr>
      <w:r>
        <w:t>Wie verhindere ich den Mahnbescheid der Gegenseite am sichersten?</w:t>
      </w:r>
    </w:p>
    <w:p>
      <w:pPr>
        <w:pStyle w:val="ListBullet"/>
      </w:pPr>
      <w:r>
        <w:t>Wann lohnt sich PKH-Antrag, wann wäre er nur Mehrarbeit?</w:t>
      </w:r>
    </w:p>
    <w:p>
      <w:pPr>
        <w:pStyle w:val="Heading2"/>
      </w:pPr>
      <w:r>
        <w:rPr>
          <w:rFonts w:ascii="Times New Roman" w:hAnsi="Times New Roman"/>
        </w:rPr>
        <w:t>Notiz für Plugin</w:t>
      </w:r>
    </w:p>
    <w:p>
      <w:pPr>
        <w:ind w:left="567"/>
      </w:pPr>
      <w:r>
        <w:rPr>
          <w:i/>
        </w:rPr>
        <w:t>"Bitte sortiere die Treffer nach 'stimmt aktuell', 'stimmt teilweise', 'stimmt nicht', und sag mir nach Möglichkeit, welche Norm jeweils einschlägig ist."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