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Leistungsberechtigte Familie Karden, Jobcenter, Vermieter, Energieversorger und Sozialgericht.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Heizkostennachzahlung, einstweiliger Rechtsschutz, unvollständige Kontoauszüge und missverständliche Jobcenter-Schreiben prallen aufeinander.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SGB II, SGG, einstweiliger Rechtsschutz, Mitwirkung, Bescheid/Widerspruch, Unterkunft und Heizung.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