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rPr>
          <w:rFonts w:ascii="Times New Roman" w:hAnsi="Times New Roman"/>
        </w:rPr>
        <w:t>Miet-, Heizkosten- und Kontounterlagen</w:t>
      </w:r>
    </w:p>
    <w:p>
      <w:pPr>
        <w:pStyle w:val="Heading2"/>
      </w:pPr>
      <w:r>
        <w:rPr>
          <w:rFonts w:ascii="Times New Roman" w:hAnsi="Times New Roman"/>
        </w:rPr>
        <w:t>Mietvertrag-Auszug</w:t>
      </w:r>
    </w:p>
    <w:p>
      <w:pPr>
        <w:jc w:val="left"/>
      </w:pPr>
      <w:r>
        <w:rPr>
          <w:b/>
        </w:rPr>
        <w:t>Vermieter:</w:t>
      </w:r>
      <w:r>
        <w:t xml:space="preserve"> Hausverwaltung Klingspor GmbH, Karl-Heine-Straße 47, 04229 Leipzig</w:t>
      </w:r>
    </w:p>
    <w:p>
      <w:pPr>
        <w:jc w:val="left"/>
      </w:pPr>
      <w:r>
        <w:rPr>
          <w:b/>
        </w:rPr>
        <w:t>Eigentümer:</w:t>
      </w:r>
      <w:r>
        <w:t xml:space="preserve"> Erbengemeinschaft Klingspor (vertreten durch Heribert Klingspor)</w:t>
      </w:r>
    </w:p>
    <w:p>
      <w:pPr>
        <w:jc w:val="left"/>
      </w:pPr>
      <w:r>
        <w:rPr>
          <w:b/>
        </w:rPr>
        <w:t>Wohnung:</w:t>
      </w:r>
      <w:r>
        <w:t xml:space="preserve"> Lindenauer Markt 12, 3. OG links, 04177 Leipzig</w:t>
      </w:r>
    </w:p>
    <w:p>
      <w:pPr>
        <w:jc w:val="left"/>
      </w:pPr>
      <w:r>
        <w:rPr>
          <w:b/>
        </w:rPr>
        <w:t>Mietbeginn:</w:t>
      </w:r>
      <w:r>
        <w:t xml:space="preserve"> 1. August 2021</w:t>
      </w:r>
    </w:p>
    <w:p>
      <w:pPr>
        <w:jc w:val="left"/>
      </w:pPr>
      <w:r>
        <w:rPr>
          <w:b/>
        </w:rPr>
        <w:t>Mietvertrag:</w:t>
      </w:r>
      <w:r>
        <w:t xml:space="preserve"> unbefristet, mit gesetzlicher Kündigungsfrist</w:t>
      </w:r>
    </w:p>
    <w:p>
      <w:pPr>
        <w:jc w:val="left"/>
      </w:pPr>
      <w:r>
        <w:rPr>
          <w:b/>
        </w:rPr>
        <w:t>Wohnfläche:</w:t>
      </w:r>
      <w:r>
        <w:t xml:space="preserve"> 58,4 m²</w:t>
      </w:r>
    </w:p>
    <w:tbl>
      <w:tblPr>
        <w:tblStyle w:val="TableGrid"/>
        <w:tblW w:type="auto" w:w="0"/>
        <w:tblLook w:firstColumn="1" w:firstRow="1" w:lastColumn="0" w:lastRow="0" w:noHBand="0" w:noVBand="1" w:val="04A0"/>
      </w:tblPr>
      <w:tblGrid>
        <w:gridCol w:w="4536"/>
        <w:gridCol w:w="4536"/>
      </w:tblGrid>
      <w:tr>
        <w:tc>
          <w:tcPr>
            <w:tcW w:type="dxa" w:w="4536"/>
          </w:tcPr>
          <w:p>
            <w:r>
              <w:rPr>
                <w:rFonts w:ascii="Times New Roman" w:hAnsi="Times New Roman"/>
                <w:b/>
                <w:sz w:val="20"/>
              </w:rPr>
              <w:t>Position</w:t>
            </w:r>
          </w:p>
        </w:tc>
        <w:tc>
          <w:tcPr>
            <w:tcW w:type="dxa" w:w="4536"/>
          </w:tcPr>
          <w:p>
            <w:r>
              <w:rPr>
                <w:rFonts w:ascii="Times New Roman" w:hAnsi="Times New Roman"/>
                <w:b/>
                <w:sz w:val="20"/>
              </w:rPr>
              <w:t>Betrag (ab 01.01.2026)</w:t>
            </w:r>
          </w:p>
        </w:tc>
      </w:tr>
      <w:tr>
        <w:tc>
          <w:tcPr>
            <w:tcW w:type="dxa" w:w="4536"/>
          </w:tcPr>
          <w:p>
            <w:r>
              <w:rPr>
                <w:rFonts w:ascii="Times New Roman" w:hAnsi="Times New Roman"/>
                <w:sz w:val="20"/>
              </w:rPr>
              <w:t>Kaltmiete</w:t>
            </w:r>
          </w:p>
        </w:tc>
        <w:tc>
          <w:tcPr>
            <w:tcW w:type="dxa" w:w="4536"/>
          </w:tcPr>
          <w:p>
            <w:r>
              <w:rPr>
                <w:rFonts w:ascii="Times New Roman" w:hAnsi="Times New Roman"/>
                <w:sz w:val="20"/>
              </w:rPr>
              <w:t>445,00 EUR</w:t>
            </w:r>
          </w:p>
        </w:tc>
      </w:tr>
      <w:tr>
        <w:tc>
          <w:tcPr>
            <w:tcW w:type="dxa" w:w="4536"/>
          </w:tcPr>
          <w:p>
            <w:r>
              <w:rPr>
                <w:rFonts w:ascii="Times New Roman" w:hAnsi="Times New Roman"/>
                <w:sz w:val="20"/>
              </w:rPr>
              <w:t>Betriebskostenvorauszahlung</w:t>
            </w:r>
          </w:p>
        </w:tc>
        <w:tc>
          <w:tcPr>
            <w:tcW w:type="dxa" w:w="4536"/>
          </w:tcPr>
          <w:p>
            <w:r>
              <w:rPr>
                <w:rFonts w:ascii="Times New Roman" w:hAnsi="Times New Roman"/>
                <w:sz w:val="20"/>
              </w:rPr>
              <w:t>105,00 EUR</w:t>
            </w:r>
          </w:p>
        </w:tc>
      </w:tr>
      <w:tr>
        <w:tc>
          <w:tcPr>
            <w:tcW w:type="dxa" w:w="4536"/>
          </w:tcPr>
          <w:p>
            <w:r>
              <w:rPr>
                <w:rFonts w:ascii="Times New Roman" w:hAnsi="Times New Roman"/>
                <w:sz w:val="20"/>
              </w:rPr>
              <w:t>Heizkostenvorauszahlung</w:t>
            </w:r>
          </w:p>
        </w:tc>
        <w:tc>
          <w:tcPr>
            <w:tcW w:type="dxa" w:w="4536"/>
          </w:tcPr>
          <w:p>
            <w:r>
              <w:rPr>
                <w:rFonts w:ascii="Times New Roman" w:hAnsi="Times New Roman"/>
                <w:sz w:val="20"/>
              </w:rPr>
              <w:t>140,00 EUR</w:t>
            </w:r>
          </w:p>
        </w:tc>
      </w:tr>
      <w:tr>
        <w:tc>
          <w:tcPr>
            <w:tcW w:type="dxa" w:w="4536"/>
          </w:tcPr>
          <w:p>
            <w:r>
              <w:rPr>
                <w:rFonts w:ascii="Times New Roman" w:hAnsi="Times New Roman"/>
                <w:b/>
                <w:sz w:val="20"/>
              </w:rPr>
              <w:t>Gesamtmiete</w:t>
            </w:r>
          </w:p>
        </w:tc>
        <w:tc>
          <w:tcPr>
            <w:tcW w:type="dxa" w:w="4536"/>
          </w:tcPr>
          <w:p>
            <w:r>
              <w:rPr>
                <w:rFonts w:ascii="Times New Roman" w:hAnsi="Times New Roman"/>
                <w:b/>
                <w:sz w:val="20"/>
              </w:rPr>
              <w:t>690,00 EUR</w:t>
            </w:r>
          </w:p>
        </w:tc>
      </w:tr>
    </w:tbl>
    <w:p>
      <w:pPr>
        <w:jc w:val="left"/>
      </w:pPr>
      <w:r>
        <w:t>Klausel zur Anpassung der Heizkostenvorauszahlung: "Die Vorauszahlungen werden jährlich nach Abrechnung angepasst." (§ 3 Abs. 4 des Mietvertrags). Eine Anpassung für 2026 ist bisher nicht erfolgt.</w:t>
      </w:r>
    </w:p>
    <w:p>
      <w:pPr>
        <w:jc w:val="left"/>
      </w:pPr>
      <w:r>
        <w:t>Im Mietvertrag steht außerdem unter "Beschaffenheit":</w:t>
      </w:r>
    </w:p>
    <w:p>
      <w:pPr>
        <w:ind w:left="567"/>
      </w:pPr>
      <w:r>
        <w:rPr>
          <w:i/>
        </w:rPr>
        <w:t>"Die Wohnung verfügt über eine Gaszentralheizung mit Etagenthermostat. Fenster: Doppelglas im Wohnzimmer, Schlafzimmer und Küche; Einfachglas in Bad und Küche-Nebenraum."</w:t>
      </w:r>
    </w:p>
    <w:p>
      <w:pPr>
        <w:jc w:val="left"/>
      </w:pPr>
      <w:r>
        <w:t>Hinweis Frau Reuter: das Küchenfenster ist tatsächlich Einfachglas, das Wohnzimmerfenster hat seit Januar 2026 eine sichtbar gerissene Dichtung an der unteren Schiene.</w:t>
      </w:r>
    </w:p>
    <w:p>
      <w:pPr>
        <w:pStyle w:val="Heading2"/>
      </w:pPr>
      <w:r>
        <w:rPr>
          <w:rFonts w:ascii="Times New Roman" w:hAnsi="Times New Roman"/>
        </w:rPr>
        <w:t>Heizkostenabrechnung vom 9. April 2026 (vollständig)</w:t>
      </w:r>
    </w:p>
    <w:p>
      <w:pPr>
        <w:jc w:val="left"/>
      </w:pPr>
      <w:r>
        <w:rPr>
          <w:b/>
        </w:rPr>
        <w:t>Hausverwaltung Klingspor GmbH</w:t>
      </w:r>
    </w:p>
    <w:p>
      <w:pPr>
        <w:jc w:val="left"/>
      </w:pPr>
      <w:r>
        <w:t>Abrechnungszeitraum: 1. Januar 2025 bis 31. Dezember 2025</w:t>
      </w:r>
    </w:p>
    <w:p>
      <w:pPr>
        <w:jc w:val="left"/>
      </w:pPr>
      <w:r>
        <w:t>Wohneinheit: Lindenauer Markt 12, 3. OG links</w:t>
      </w:r>
    </w:p>
    <w:p>
      <w:pPr>
        <w:pStyle w:val="Heading3"/>
      </w:pPr>
      <w:r>
        <w:rPr>
          <w:rFonts w:ascii="Times New Roman" w:hAnsi="Times New Roman"/>
        </w:rPr>
        <w:t>Gesamtkosten Liegenschaft</w:t>
      </w:r>
    </w:p>
    <w:tbl>
      <w:tblPr>
        <w:tblStyle w:val="TableGrid"/>
        <w:tblW w:type="auto" w:w="0"/>
        <w:tblLook w:firstColumn="1" w:firstRow="1" w:lastColumn="0" w:lastRow="0" w:noHBand="0" w:noVBand="1" w:val="04A0"/>
      </w:tblPr>
      <w:tblGrid>
        <w:gridCol w:w="4536"/>
        <w:gridCol w:w="4536"/>
      </w:tblGrid>
      <w:tr>
        <w:tc>
          <w:tcPr>
            <w:tcW w:type="dxa" w:w="4536"/>
          </w:tcPr>
          <w:p>
            <w:r>
              <w:rPr>
                <w:rFonts w:ascii="Times New Roman" w:hAnsi="Times New Roman"/>
                <w:b/>
                <w:sz w:val="20"/>
              </w:rPr>
              <w:t>Position</w:t>
            </w:r>
          </w:p>
        </w:tc>
        <w:tc>
          <w:tcPr>
            <w:tcW w:type="dxa" w:w="4536"/>
          </w:tcPr>
          <w:p>
            <w:r>
              <w:rPr>
                <w:rFonts w:ascii="Times New Roman" w:hAnsi="Times New Roman"/>
                <w:b/>
                <w:sz w:val="20"/>
              </w:rPr>
              <w:t>Betrag</w:t>
            </w:r>
          </w:p>
        </w:tc>
      </w:tr>
      <w:tr>
        <w:tc>
          <w:tcPr>
            <w:tcW w:type="dxa" w:w="4536"/>
          </w:tcPr>
          <w:p>
            <w:r>
              <w:rPr>
                <w:rFonts w:ascii="Times New Roman" w:hAnsi="Times New Roman"/>
                <w:sz w:val="20"/>
              </w:rPr>
              <w:t>Erdgas (Stadtwerke Leipzig)</w:t>
            </w:r>
          </w:p>
        </w:tc>
        <w:tc>
          <w:tcPr>
            <w:tcW w:type="dxa" w:w="4536"/>
          </w:tcPr>
          <w:p>
            <w:r>
              <w:rPr>
                <w:rFonts w:ascii="Times New Roman" w:hAnsi="Times New Roman"/>
                <w:sz w:val="20"/>
              </w:rPr>
              <w:t>18.412,80 EUR</w:t>
            </w:r>
          </w:p>
        </w:tc>
      </w:tr>
      <w:tr>
        <w:tc>
          <w:tcPr>
            <w:tcW w:type="dxa" w:w="4536"/>
          </w:tcPr>
          <w:p>
            <w:r>
              <w:rPr>
                <w:rFonts w:ascii="Times New Roman" w:hAnsi="Times New Roman"/>
                <w:sz w:val="20"/>
              </w:rPr>
              <w:t>Wartung Heizungsanlage (Wartungsvertrag Wendler &amp; Co.)</w:t>
            </w:r>
          </w:p>
        </w:tc>
        <w:tc>
          <w:tcPr>
            <w:tcW w:type="dxa" w:w="4536"/>
          </w:tcPr>
          <w:p>
            <w:r>
              <w:rPr>
                <w:rFonts w:ascii="Times New Roman" w:hAnsi="Times New Roman"/>
                <w:sz w:val="20"/>
              </w:rPr>
              <w:t>612,00 EUR</w:t>
            </w:r>
          </w:p>
        </w:tc>
      </w:tr>
      <w:tr>
        <w:tc>
          <w:tcPr>
            <w:tcW w:type="dxa" w:w="4536"/>
          </w:tcPr>
          <w:p>
            <w:r>
              <w:rPr>
                <w:rFonts w:ascii="Times New Roman" w:hAnsi="Times New Roman"/>
                <w:sz w:val="20"/>
              </w:rPr>
              <w:t>Schornsteinfeger (Bezirksschornsteinfeger Klein)</w:t>
            </w:r>
          </w:p>
        </w:tc>
        <w:tc>
          <w:tcPr>
            <w:tcW w:type="dxa" w:w="4536"/>
          </w:tcPr>
          <w:p>
            <w:r>
              <w:rPr>
                <w:rFonts w:ascii="Times New Roman" w:hAnsi="Times New Roman"/>
                <w:sz w:val="20"/>
              </w:rPr>
              <w:t>184,40 EUR</w:t>
            </w:r>
          </w:p>
        </w:tc>
      </w:tr>
      <w:tr>
        <w:tc>
          <w:tcPr>
            <w:tcW w:type="dxa" w:w="4536"/>
          </w:tcPr>
          <w:p>
            <w:r>
              <w:rPr>
                <w:rFonts w:ascii="Times New Roman" w:hAnsi="Times New Roman"/>
                <w:sz w:val="20"/>
              </w:rPr>
              <w:t>Mess- und Abrechnungsdienst Brunata-Metrona</w:t>
            </w:r>
          </w:p>
        </w:tc>
        <w:tc>
          <w:tcPr>
            <w:tcW w:type="dxa" w:w="4536"/>
          </w:tcPr>
          <w:p>
            <w:r>
              <w:rPr>
                <w:rFonts w:ascii="Times New Roman" w:hAnsi="Times New Roman"/>
                <w:sz w:val="20"/>
              </w:rPr>
              <w:t>489,70 EUR</w:t>
            </w:r>
          </w:p>
        </w:tc>
      </w:tr>
      <w:tr>
        <w:tc>
          <w:tcPr>
            <w:tcW w:type="dxa" w:w="4536"/>
          </w:tcPr>
          <w:p>
            <w:r>
              <w:rPr>
                <w:rFonts w:ascii="Times New Roman" w:hAnsi="Times New Roman"/>
                <w:sz w:val="20"/>
              </w:rPr>
              <w:t>Strom für Heizungsanlage</w:t>
            </w:r>
          </w:p>
        </w:tc>
        <w:tc>
          <w:tcPr>
            <w:tcW w:type="dxa" w:w="4536"/>
          </w:tcPr>
          <w:p>
            <w:r>
              <w:rPr>
                <w:rFonts w:ascii="Times New Roman" w:hAnsi="Times New Roman"/>
                <w:sz w:val="20"/>
              </w:rPr>
              <w:t>322,00 EUR</w:t>
            </w:r>
          </w:p>
        </w:tc>
      </w:tr>
      <w:tr>
        <w:tc>
          <w:tcPr>
            <w:tcW w:type="dxa" w:w="4536"/>
          </w:tcPr>
          <w:p>
            <w:r>
              <w:rPr>
                <w:rFonts w:ascii="Times New Roman" w:hAnsi="Times New Roman"/>
                <w:sz w:val="20"/>
              </w:rPr>
              <w:t>Versicherung Heizungsanlage (anteilig)</w:t>
            </w:r>
          </w:p>
        </w:tc>
        <w:tc>
          <w:tcPr>
            <w:tcW w:type="dxa" w:w="4536"/>
          </w:tcPr>
          <w:p>
            <w:r>
              <w:rPr>
                <w:rFonts w:ascii="Times New Roman" w:hAnsi="Times New Roman"/>
                <w:sz w:val="20"/>
              </w:rPr>
              <w:t>78,20 EUR</w:t>
            </w:r>
          </w:p>
        </w:tc>
      </w:tr>
      <w:tr>
        <w:tc>
          <w:tcPr>
            <w:tcW w:type="dxa" w:w="4536"/>
          </w:tcPr>
          <w:p>
            <w:r>
              <w:rPr>
                <w:rFonts w:ascii="Times New Roman" w:hAnsi="Times New Roman"/>
                <w:b/>
                <w:sz w:val="20"/>
              </w:rPr>
              <w:t>Gesamt</w:t>
            </w:r>
          </w:p>
        </w:tc>
        <w:tc>
          <w:tcPr>
            <w:tcW w:type="dxa" w:w="4536"/>
          </w:tcPr>
          <w:p>
            <w:r>
              <w:rPr>
                <w:rFonts w:ascii="Times New Roman" w:hAnsi="Times New Roman"/>
                <w:b/>
                <w:sz w:val="20"/>
              </w:rPr>
              <w:t>20.099,10 EUR</w:t>
            </w:r>
          </w:p>
        </w:tc>
      </w:tr>
    </w:tbl>
    <w:p>
      <w:pPr>
        <w:pStyle w:val="Heading3"/>
      </w:pPr>
      <w:r>
        <w:rPr>
          <w:rFonts w:ascii="Times New Roman" w:hAnsi="Times New Roman"/>
        </w:rPr>
        <w:t>Verteilerschlüssel</w:t>
      </w:r>
    </w:p>
    <w:p>
      <w:pPr>
        <w:pStyle w:val="ListBullet"/>
      </w:pPr>
      <w:r>
        <w:t>30 % nach Wohnfläche</w:t>
      </w:r>
    </w:p>
    <w:p>
      <w:pPr>
        <w:pStyle w:val="ListBullet"/>
      </w:pPr>
      <w:r>
        <w:t>70 % nach Verbrauch (Heizkostenverteiler an Heizkörpern)</w:t>
      </w:r>
    </w:p>
    <w:p>
      <w:pPr>
        <w:pStyle w:val="Heading3"/>
      </w:pPr>
      <w:r>
        <w:rPr>
          <w:rFonts w:ascii="Times New Roman" w:hAnsi="Times New Roman"/>
        </w:rPr>
        <w:t>Anteil Wohneinheit Reuter</w:t>
      </w:r>
    </w:p>
    <w:p>
      <w:pPr>
        <w:jc w:val="left"/>
      </w:pPr>
      <w:r>
        <w:t>Wohnfläche-Anteil: 58,4 m² von 482,3 m² Liegenschaft = 12,11 %</w:t>
      </w:r>
    </w:p>
    <w:p>
      <w:pPr>
        <w:jc w:val="left"/>
      </w:pPr>
      <w:r>
        <w:t>Verbrauchsanteil: nach Heizkostenverteilern 14,82 % der erfassten Einheiten</w:t>
      </w:r>
    </w:p>
    <w:tbl>
      <w:tblPr>
        <w:tblStyle w:val="TableGrid"/>
        <w:tblW w:type="auto" w:w="0"/>
        <w:tblLook w:firstColumn="1" w:firstRow="1" w:lastColumn="0" w:lastRow="0" w:noHBand="0" w:noVBand="1" w:val="04A0"/>
      </w:tblPr>
      <w:tblGrid>
        <w:gridCol w:w="3024"/>
        <w:gridCol w:w="3024"/>
        <w:gridCol w:w="3024"/>
      </w:tblGrid>
      <w:tr>
        <w:tc>
          <w:tcPr>
            <w:tcW w:type="dxa" w:w="3024"/>
          </w:tcPr>
          <w:p>
            <w:r>
              <w:rPr>
                <w:rFonts w:ascii="Times New Roman" w:hAnsi="Times New Roman"/>
                <w:b/>
                <w:sz w:val="20"/>
              </w:rPr>
              <w:t>Position</w:t>
            </w:r>
          </w:p>
        </w:tc>
        <w:tc>
          <w:tcPr>
            <w:tcW w:type="dxa" w:w="3024"/>
          </w:tcPr>
          <w:p>
            <w:r>
              <w:rPr>
                <w:rFonts w:ascii="Times New Roman" w:hAnsi="Times New Roman"/>
                <w:b/>
                <w:sz w:val="20"/>
              </w:rPr>
              <w:t>Berechnung</w:t>
            </w:r>
          </w:p>
        </w:tc>
        <w:tc>
          <w:tcPr>
            <w:tcW w:type="dxa" w:w="3024"/>
          </w:tcPr>
          <w:p>
            <w:r>
              <w:rPr>
                <w:rFonts w:ascii="Times New Roman" w:hAnsi="Times New Roman"/>
                <w:b/>
                <w:sz w:val="20"/>
              </w:rPr>
              <w:t>Betrag</w:t>
            </w:r>
          </w:p>
        </w:tc>
      </w:tr>
      <w:tr>
        <w:tc>
          <w:tcPr>
            <w:tcW w:type="dxa" w:w="3024"/>
          </w:tcPr>
          <w:p>
            <w:r>
              <w:rPr>
                <w:rFonts w:ascii="Times New Roman" w:hAnsi="Times New Roman"/>
                <w:sz w:val="20"/>
              </w:rPr>
              <w:t>Grundanteil (30 %, nach Fläche)</w:t>
            </w:r>
          </w:p>
        </w:tc>
        <w:tc>
          <w:tcPr>
            <w:tcW w:type="dxa" w:w="3024"/>
          </w:tcPr>
          <w:p>
            <w:r>
              <w:rPr>
                <w:rFonts w:ascii="Times New Roman" w:hAnsi="Times New Roman"/>
                <w:sz w:val="20"/>
              </w:rPr>
              <w:t>20.099,10 × 0,30 × 0,1211</w:t>
            </w:r>
          </w:p>
        </w:tc>
        <w:tc>
          <w:tcPr>
            <w:tcW w:type="dxa" w:w="3024"/>
          </w:tcPr>
          <w:p>
            <w:r>
              <w:rPr>
                <w:rFonts w:ascii="Times New Roman" w:hAnsi="Times New Roman"/>
                <w:sz w:val="20"/>
              </w:rPr>
              <w:t>730,40 EUR</w:t>
            </w:r>
          </w:p>
        </w:tc>
      </w:tr>
      <w:tr>
        <w:tc>
          <w:tcPr>
            <w:tcW w:type="dxa" w:w="3024"/>
          </w:tcPr>
          <w:p>
            <w:r>
              <w:rPr>
                <w:rFonts w:ascii="Times New Roman" w:hAnsi="Times New Roman"/>
                <w:sz w:val="20"/>
              </w:rPr>
              <w:t>Verbrauchsanteil (70 %, nach HKV)</w:t>
            </w:r>
          </w:p>
        </w:tc>
        <w:tc>
          <w:tcPr>
            <w:tcW w:type="dxa" w:w="3024"/>
          </w:tcPr>
          <w:p>
            <w:r>
              <w:rPr>
                <w:rFonts w:ascii="Times New Roman" w:hAnsi="Times New Roman"/>
                <w:sz w:val="20"/>
              </w:rPr>
              <w:t>20.099,10 × 0,70 × 0,1482</w:t>
            </w:r>
          </w:p>
        </w:tc>
        <w:tc>
          <w:tcPr>
            <w:tcW w:type="dxa" w:w="3024"/>
          </w:tcPr>
          <w:p>
            <w:r>
              <w:rPr>
                <w:rFonts w:ascii="Times New Roman" w:hAnsi="Times New Roman"/>
                <w:sz w:val="20"/>
              </w:rPr>
              <w:t>2.084,55 EUR</w:t>
            </w:r>
          </w:p>
        </w:tc>
      </w:tr>
      <w:tr>
        <w:tc>
          <w:tcPr>
            <w:tcW w:type="dxa" w:w="3024"/>
          </w:tcPr>
          <w:p>
            <w:r>
              <w:rPr>
                <w:rFonts w:ascii="Times New Roman" w:hAnsi="Times New Roman"/>
                <w:b/>
                <w:sz w:val="20"/>
              </w:rPr>
              <w:t>Anteil Reuter brutto</w:t>
            </w:r>
          </w:p>
        </w:tc>
        <w:tc>
          <w:tcPr>
            <w:tcW w:type="dxa" w:w="3024"/>
          </w:tcPr>
          <w:p/>
        </w:tc>
        <w:tc>
          <w:tcPr>
            <w:tcW w:type="dxa" w:w="3024"/>
          </w:tcPr>
          <w:p>
            <w:r>
              <w:rPr>
                <w:rFonts w:ascii="Times New Roman" w:hAnsi="Times New Roman"/>
                <w:b/>
                <w:sz w:val="20"/>
              </w:rPr>
              <w:t>2.814,95 EUR</w:t>
            </w:r>
          </w:p>
        </w:tc>
      </w:tr>
      <w:tr>
        <w:tc>
          <w:tcPr>
            <w:tcW w:type="dxa" w:w="3024"/>
          </w:tcPr>
          <w:p>
            <w:r>
              <w:rPr>
                <w:rFonts w:ascii="Times New Roman" w:hAnsi="Times New Roman"/>
                <w:sz w:val="20"/>
              </w:rPr>
              <w:t>abzüglich Warmwasseranteil getrennt</w:t>
            </w:r>
          </w:p>
        </w:tc>
        <w:tc>
          <w:tcPr>
            <w:tcW w:type="dxa" w:w="3024"/>
          </w:tcPr>
          <w:p/>
        </w:tc>
        <w:tc>
          <w:tcPr>
            <w:tcW w:type="dxa" w:w="3024"/>
          </w:tcPr>
          <w:p>
            <w:r>
              <w:rPr>
                <w:rFonts w:ascii="Times New Roman" w:hAnsi="Times New Roman"/>
                <w:sz w:val="20"/>
              </w:rPr>
              <w:t>-322,51 EUR</w:t>
            </w:r>
          </w:p>
        </w:tc>
      </w:tr>
      <w:tr>
        <w:tc>
          <w:tcPr>
            <w:tcW w:type="dxa" w:w="3024"/>
          </w:tcPr>
          <w:p>
            <w:r>
              <w:rPr>
                <w:rFonts w:ascii="Times New Roman" w:hAnsi="Times New Roman"/>
                <w:b/>
                <w:sz w:val="20"/>
              </w:rPr>
              <w:t>Heiz- und Warmwasserkosten 2025</w:t>
            </w:r>
          </w:p>
        </w:tc>
        <w:tc>
          <w:tcPr>
            <w:tcW w:type="dxa" w:w="3024"/>
          </w:tcPr>
          <w:p/>
        </w:tc>
        <w:tc>
          <w:tcPr>
            <w:tcW w:type="dxa" w:w="3024"/>
          </w:tcPr>
          <w:p>
            <w:r>
              <w:rPr>
                <w:rFonts w:ascii="Times New Roman" w:hAnsi="Times New Roman"/>
                <w:b/>
                <w:sz w:val="20"/>
              </w:rPr>
              <w:t>2.492,44 EUR</w:t>
            </w:r>
          </w:p>
        </w:tc>
      </w:tr>
      <w:tr>
        <w:tc>
          <w:tcPr>
            <w:tcW w:type="dxa" w:w="3024"/>
          </w:tcPr>
          <w:p>
            <w:r>
              <w:rPr>
                <w:rFonts w:ascii="Times New Roman" w:hAnsi="Times New Roman"/>
                <w:sz w:val="20"/>
              </w:rPr>
              <w:t>geleistete Vorauszahlungen (12 × 140 EUR)</w:t>
            </w:r>
          </w:p>
        </w:tc>
        <w:tc>
          <w:tcPr>
            <w:tcW w:type="dxa" w:w="3024"/>
          </w:tcPr>
          <w:p/>
        </w:tc>
        <w:tc>
          <w:tcPr>
            <w:tcW w:type="dxa" w:w="3024"/>
          </w:tcPr>
          <w:p>
            <w:r>
              <w:rPr>
                <w:rFonts w:ascii="Times New Roman" w:hAnsi="Times New Roman"/>
                <w:sz w:val="20"/>
              </w:rPr>
              <w:t>-1.680,00 EUR</w:t>
            </w:r>
          </w:p>
        </w:tc>
      </w:tr>
      <w:tr>
        <w:tc>
          <w:tcPr>
            <w:tcW w:type="dxa" w:w="3024"/>
          </w:tcPr>
          <w:p>
            <w:r>
              <w:rPr>
                <w:rFonts w:ascii="Times New Roman" w:hAnsi="Times New Roman"/>
                <w:b/>
                <w:sz w:val="20"/>
              </w:rPr>
              <w:t>Nachzahlung</w:t>
            </w:r>
          </w:p>
        </w:tc>
        <w:tc>
          <w:tcPr>
            <w:tcW w:type="dxa" w:w="3024"/>
          </w:tcPr>
          <w:p/>
        </w:tc>
        <w:tc>
          <w:tcPr>
            <w:tcW w:type="dxa" w:w="3024"/>
          </w:tcPr>
          <w:p>
            <w:r>
              <w:rPr>
                <w:rFonts w:ascii="Times New Roman" w:hAnsi="Times New Roman"/>
                <w:b/>
                <w:sz w:val="20"/>
              </w:rPr>
              <w:t>812,44 EUR</w:t>
            </w:r>
          </w:p>
        </w:tc>
      </w:tr>
    </w:tbl>
    <w:p>
      <w:pPr>
        <w:jc w:val="left"/>
      </w:pPr>
      <w:r>
        <w:t>Fällig bis 10. Juni 2026.</w:t>
      </w:r>
    </w:p>
    <w:p>
      <w:pPr>
        <w:jc w:val="left"/>
      </w:pPr>
      <w:r>
        <w:t>Hinweis: Vorjahresnachzahlung 2024 lag bei 162,80 EUR. Der Vorjahresverbrauch war ähnlich, aber der Erdgaspreis lag bei 7,84 ct/kWh. Im Abrechnungszeitraum 2025 lag der Durchschnittspreis bei 12,17 ct/kWh — eine Steigerung von rund 55 %.</w:t>
      </w:r>
    </w:p>
    <w:p>
      <w:pPr>
        <w:pStyle w:val="Heading2"/>
      </w:pPr>
      <w:r>
        <w:rPr>
          <w:rFonts w:ascii="Times New Roman" w:hAnsi="Times New Roman"/>
        </w:rPr>
        <w:t>Erste Mahnung der Hausverwaltung vom 26. Mai 2026</w:t>
      </w:r>
    </w:p>
    <w:p>
      <w:pPr>
        <w:jc w:val="left"/>
      </w:pPr>
      <w:r>
        <w:t>Sehr geehrte Frau Reuter,</w:t>
      </w:r>
    </w:p>
    <w:p>
      <w:pPr>
        <w:jc w:val="left"/>
      </w:pPr>
      <w:r>
        <w:t>wir erinnern an die zum 10. Juni 2026 fällige Heizkostennachzahlung in Höhe von 812,44 EUR. Bitte teilen Sie uns bis zum 3. Juni 2026 mit, ob die Zahlung vollständig eingeht oder ob eine Ratenzahlung benötigt wird. Ohne Rückmeldung werden wir den Vorgang an die Eigentümervertretung geben und gegebenenfalls Mahngebühren in Rechnung stellen.</w:t>
      </w:r>
    </w:p>
    <w:p>
      <w:pPr>
        <w:jc w:val="left"/>
      </w:pPr>
      <w:r>
        <w:t>Mit freundlichen Grüßen</w:t>
      </w:r>
    </w:p>
    <w:p>
      <w:pPr>
        <w:jc w:val="left"/>
      </w:pPr>
      <w:r>
        <w:t>Klingspor GmbH</w:t>
      </w:r>
    </w:p>
    <w:p>
      <w:pPr>
        <w:pStyle w:val="Heading2"/>
      </w:pPr>
      <w:r>
        <w:rPr>
          <w:rFonts w:ascii="Times New Roman" w:hAnsi="Times New Roman"/>
        </w:rPr>
        <w:t>Zweite Mahnung der Hausverwaltung vom 4. Juni 2026 (vor-eingegangen — Datum noch nicht erreicht, aber Brief liegt mit Zukunftsdatum vor wegen Datumsfehler der Verwaltung)</w:t>
      </w:r>
    </w:p>
    <w:p>
      <w:pPr>
        <w:jc w:val="left"/>
      </w:pPr>
      <w:r>
        <w:t>Sehr geehrte Frau Reuter,</w:t>
      </w:r>
    </w:p>
    <w:p>
      <w:pPr>
        <w:jc w:val="left"/>
      </w:pPr>
      <w:r>
        <w:t>Sie haben auf unsere Mahnung nicht reagiert. Wir weisen darauf hin, dass bei einem Mietrückstand von mehr als zwei Monatsmieten gemäß § 543 Abs. 2 Satz 1 Nr. 3 BGB eine fristlose Kündigung des Mietverhältnisses ausgesprochen werden kann. Die Eigentümerin behält sich diese Maßnahme ausdrücklich vor, sollte die offene Forderung nicht bis spätestens 30. Juni 2026 ausgeglichen sein.</w:t>
      </w:r>
    </w:p>
    <w:p>
      <w:pPr>
        <w:jc w:val="left"/>
      </w:pPr>
      <w:r>
        <w:t>Mit freundlichen Grüßen</w:t>
      </w:r>
    </w:p>
    <w:p>
      <w:pPr>
        <w:jc w:val="left"/>
      </w:pPr>
      <w:r>
        <w:t>Klingspor GmbH</w:t>
      </w:r>
    </w:p>
    <w:p>
      <w:pPr>
        <w:jc w:val="left"/>
      </w:pPr>
      <w:r>
        <w:t>Hinweis Frau Reuter: dieses zweite Schreiben trägt das Datum 4. Juni 2026, ist aber am 28. Mai 2026 im Briefkasten gewesen — entweder Versehen oder Druckfehler. Brief und Umschlag liegen vor.</w:t>
      </w:r>
    </w:p>
    <w:p>
      <w:pPr>
        <w:pStyle w:val="Heading2"/>
      </w:pPr>
      <w:r>
        <w:rPr>
          <w:rFonts w:ascii="Times New Roman" w:hAnsi="Times New Roman"/>
        </w:rPr>
        <w:t>Kontoauszug Sparkasse Leipzig, 27. Mai 2026</w:t>
      </w:r>
    </w:p>
    <w:p>
      <w:pPr>
        <w:jc w:val="left"/>
      </w:pPr>
      <w:r>
        <w:t>Kontostand: 118,32 EUR. Letzte Buchungen:</w:t>
      </w:r>
    </w:p>
    <w:tbl>
      <w:tblPr>
        <w:tblStyle w:val="TableGrid"/>
        <w:tblW w:type="auto" w:w="0"/>
        <w:tblLook w:firstColumn="1" w:firstRow="1" w:lastColumn="0" w:lastRow="0" w:noHBand="0" w:noVBand="1" w:val="04A0"/>
      </w:tblPr>
      <w:tblGrid>
        <w:gridCol w:w="3024"/>
        <w:gridCol w:w="3024"/>
        <w:gridCol w:w="3024"/>
      </w:tblGrid>
      <w:tr>
        <w:tc>
          <w:tcPr>
            <w:tcW w:type="dxa" w:w="3024"/>
          </w:tcPr>
          <w:p>
            <w:r>
              <w:rPr>
                <w:rFonts w:ascii="Times New Roman" w:hAnsi="Times New Roman"/>
                <w:b/>
                <w:sz w:val="20"/>
              </w:rPr>
              <w:t>Datum</w:t>
            </w:r>
          </w:p>
        </w:tc>
        <w:tc>
          <w:tcPr>
            <w:tcW w:type="dxa" w:w="3024"/>
          </w:tcPr>
          <w:p>
            <w:r>
              <w:rPr>
                <w:rFonts w:ascii="Times New Roman" w:hAnsi="Times New Roman"/>
                <w:b/>
                <w:sz w:val="20"/>
              </w:rPr>
              <w:t>Vorgang</w:t>
            </w:r>
          </w:p>
        </w:tc>
        <w:tc>
          <w:tcPr>
            <w:tcW w:type="dxa" w:w="3024"/>
          </w:tcPr>
          <w:p>
            <w:r>
              <w:rPr>
                <w:rFonts w:ascii="Times New Roman" w:hAnsi="Times New Roman"/>
                <w:b/>
                <w:sz w:val="20"/>
              </w:rPr>
              <w:t>Betrag</w:t>
            </w:r>
          </w:p>
        </w:tc>
      </w:tr>
      <w:tr>
        <w:tc>
          <w:tcPr>
            <w:tcW w:type="dxa" w:w="3024"/>
          </w:tcPr>
          <w:p>
            <w:r>
              <w:rPr>
                <w:rFonts w:ascii="Times New Roman" w:hAnsi="Times New Roman"/>
                <w:sz w:val="20"/>
              </w:rPr>
              <w:t>24.05.2026</w:t>
            </w:r>
          </w:p>
        </w:tc>
        <w:tc>
          <w:tcPr>
            <w:tcW w:type="dxa" w:w="3024"/>
          </w:tcPr>
          <w:p>
            <w:r>
              <w:rPr>
                <w:rFonts w:ascii="Times New Roman" w:hAnsi="Times New Roman"/>
                <w:sz w:val="20"/>
              </w:rPr>
              <w:t>Tankstelle Aral Lindenau</w:t>
            </w:r>
          </w:p>
        </w:tc>
        <w:tc>
          <w:tcPr>
            <w:tcW w:type="dxa" w:w="3024"/>
          </w:tcPr>
          <w:p>
            <w:r>
              <w:rPr>
                <w:rFonts w:ascii="Times New Roman" w:hAnsi="Times New Roman"/>
                <w:sz w:val="20"/>
              </w:rPr>
              <w:t>-34,80 EUR</w:t>
            </w:r>
          </w:p>
        </w:tc>
      </w:tr>
      <w:tr>
        <w:tc>
          <w:tcPr>
            <w:tcW w:type="dxa" w:w="3024"/>
          </w:tcPr>
          <w:p>
            <w:r>
              <w:rPr>
                <w:rFonts w:ascii="Times New Roman" w:hAnsi="Times New Roman"/>
                <w:sz w:val="20"/>
              </w:rPr>
              <w:t>23.05.2026</w:t>
            </w:r>
          </w:p>
        </w:tc>
        <w:tc>
          <w:tcPr>
            <w:tcW w:type="dxa" w:w="3024"/>
          </w:tcPr>
          <w:p>
            <w:r>
              <w:rPr>
                <w:rFonts w:ascii="Times New Roman" w:hAnsi="Times New Roman"/>
                <w:sz w:val="20"/>
              </w:rPr>
              <w:t>LVB Monatskarte ABO</w:t>
            </w:r>
          </w:p>
        </w:tc>
        <w:tc>
          <w:tcPr>
            <w:tcW w:type="dxa" w:w="3024"/>
          </w:tcPr>
          <w:p>
            <w:r>
              <w:rPr>
                <w:rFonts w:ascii="Times New Roman" w:hAnsi="Times New Roman"/>
                <w:sz w:val="20"/>
              </w:rPr>
              <w:t>-69,80 EUR</w:t>
            </w:r>
          </w:p>
        </w:tc>
      </w:tr>
      <w:tr>
        <w:tc>
          <w:tcPr>
            <w:tcW w:type="dxa" w:w="3024"/>
          </w:tcPr>
          <w:p>
            <w:r>
              <w:rPr>
                <w:rFonts w:ascii="Times New Roman" w:hAnsi="Times New Roman"/>
                <w:sz w:val="20"/>
              </w:rPr>
              <w:t>22.05.2026</w:t>
            </w:r>
          </w:p>
        </w:tc>
        <w:tc>
          <w:tcPr>
            <w:tcW w:type="dxa" w:w="3024"/>
          </w:tcPr>
          <w:p>
            <w:r>
              <w:rPr>
                <w:rFonts w:ascii="Times New Roman" w:hAnsi="Times New Roman"/>
                <w:sz w:val="20"/>
              </w:rPr>
              <w:t>Lebensmittel Rewe</w:t>
            </w:r>
          </w:p>
        </w:tc>
        <w:tc>
          <w:tcPr>
            <w:tcW w:type="dxa" w:w="3024"/>
          </w:tcPr>
          <w:p>
            <w:r>
              <w:rPr>
                <w:rFonts w:ascii="Times New Roman" w:hAnsi="Times New Roman"/>
                <w:sz w:val="20"/>
              </w:rPr>
              <w:t>-48,11 EUR</w:t>
            </w:r>
          </w:p>
        </w:tc>
      </w:tr>
      <w:tr>
        <w:tc>
          <w:tcPr>
            <w:tcW w:type="dxa" w:w="3024"/>
          </w:tcPr>
          <w:p>
            <w:r>
              <w:rPr>
                <w:rFonts w:ascii="Times New Roman" w:hAnsi="Times New Roman"/>
                <w:sz w:val="20"/>
              </w:rPr>
              <w:t>20.05.2026</w:t>
            </w:r>
          </w:p>
        </w:tc>
        <w:tc>
          <w:tcPr>
            <w:tcW w:type="dxa" w:w="3024"/>
          </w:tcPr>
          <w:p>
            <w:r>
              <w:rPr>
                <w:rFonts w:ascii="Times New Roman" w:hAnsi="Times New Roman"/>
                <w:sz w:val="20"/>
              </w:rPr>
              <w:t>Sparkasse Kontoführung</w:t>
            </w:r>
          </w:p>
        </w:tc>
        <w:tc>
          <w:tcPr>
            <w:tcW w:type="dxa" w:w="3024"/>
          </w:tcPr>
          <w:p>
            <w:r>
              <w:rPr>
                <w:rFonts w:ascii="Times New Roman" w:hAnsi="Times New Roman"/>
                <w:sz w:val="20"/>
              </w:rPr>
              <w:t>-3,90 EUR</w:t>
            </w:r>
          </w:p>
        </w:tc>
      </w:tr>
      <w:tr>
        <w:tc>
          <w:tcPr>
            <w:tcW w:type="dxa" w:w="3024"/>
          </w:tcPr>
          <w:p>
            <w:r>
              <w:rPr>
                <w:rFonts w:ascii="Times New Roman" w:hAnsi="Times New Roman"/>
                <w:sz w:val="20"/>
              </w:rPr>
              <w:t>15.05.2026</w:t>
            </w:r>
          </w:p>
        </w:tc>
        <w:tc>
          <w:tcPr>
            <w:tcW w:type="dxa" w:w="3024"/>
          </w:tcPr>
          <w:p>
            <w:r>
              <w:rPr>
                <w:rFonts w:ascii="Times New Roman" w:hAnsi="Times New Roman"/>
                <w:sz w:val="20"/>
              </w:rPr>
              <w:t>Lebensmittel Konsum</w:t>
            </w:r>
          </w:p>
        </w:tc>
        <w:tc>
          <w:tcPr>
            <w:tcW w:type="dxa" w:w="3024"/>
          </w:tcPr>
          <w:p>
            <w:r>
              <w:rPr>
                <w:rFonts w:ascii="Times New Roman" w:hAnsi="Times New Roman"/>
                <w:sz w:val="20"/>
              </w:rPr>
              <w:t>-52,40 EUR</w:t>
            </w:r>
          </w:p>
        </w:tc>
      </w:tr>
      <w:tr>
        <w:tc>
          <w:tcPr>
            <w:tcW w:type="dxa" w:w="3024"/>
          </w:tcPr>
          <w:p>
            <w:r>
              <w:rPr>
                <w:rFonts w:ascii="Times New Roman" w:hAnsi="Times New Roman"/>
                <w:sz w:val="20"/>
              </w:rPr>
              <w:t>01.05.2026</w:t>
            </w:r>
          </w:p>
        </w:tc>
        <w:tc>
          <w:tcPr>
            <w:tcW w:type="dxa" w:w="3024"/>
          </w:tcPr>
          <w:p>
            <w:r>
              <w:rPr>
                <w:rFonts w:ascii="Times New Roman" w:hAnsi="Times New Roman"/>
                <w:sz w:val="20"/>
              </w:rPr>
              <w:t>Bürgergeld Jobcenter</w:t>
            </w:r>
          </w:p>
        </w:tc>
        <w:tc>
          <w:tcPr>
            <w:tcW w:type="dxa" w:w="3024"/>
          </w:tcPr>
          <w:p>
            <w:r>
              <w:rPr>
                <w:rFonts w:ascii="Times New Roman" w:hAnsi="Times New Roman"/>
                <w:sz w:val="20"/>
              </w:rPr>
              <w:t>+1.157,56 EUR</w:t>
            </w:r>
          </w:p>
        </w:tc>
      </w:tr>
      <w:tr>
        <w:tc>
          <w:tcPr>
            <w:tcW w:type="dxa" w:w="3024"/>
          </w:tcPr>
          <w:p>
            <w:r>
              <w:rPr>
                <w:rFonts w:ascii="Times New Roman" w:hAnsi="Times New Roman"/>
                <w:sz w:val="20"/>
              </w:rPr>
              <w:t>30.04.2026</w:t>
            </w:r>
          </w:p>
        </w:tc>
        <w:tc>
          <w:tcPr>
            <w:tcW w:type="dxa" w:w="3024"/>
          </w:tcPr>
          <w:p>
            <w:r>
              <w:rPr>
                <w:rFonts w:ascii="Times New Roman" w:hAnsi="Times New Roman"/>
                <w:sz w:val="20"/>
              </w:rPr>
              <w:t>Kindergeld Familienkasse</w:t>
            </w:r>
          </w:p>
        </w:tc>
        <w:tc>
          <w:tcPr>
            <w:tcW w:type="dxa" w:w="3024"/>
          </w:tcPr>
          <w:p>
            <w:r>
              <w:rPr>
                <w:rFonts w:ascii="Times New Roman" w:hAnsi="Times New Roman"/>
                <w:sz w:val="20"/>
              </w:rPr>
              <w:t>+255,00 EUR</w:t>
            </w:r>
          </w:p>
        </w:tc>
      </w:tr>
      <w:tr>
        <w:tc>
          <w:tcPr>
            <w:tcW w:type="dxa" w:w="3024"/>
          </w:tcPr>
          <w:p>
            <w:r>
              <w:rPr>
                <w:rFonts w:ascii="Times New Roman" w:hAnsi="Times New Roman"/>
                <w:sz w:val="20"/>
              </w:rPr>
              <w:t>30.04.2026</w:t>
            </w:r>
          </w:p>
        </w:tc>
        <w:tc>
          <w:tcPr>
            <w:tcW w:type="dxa" w:w="3024"/>
          </w:tcPr>
          <w:p>
            <w:r>
              <w:rPr>
                <w:rFonts w:ascii="Times New Roman" w:hAnsi="Times New Roman"/>
                <w:sz w:val="20"/>
              </w:rPr>
              <w:t>Unterhaltsvorschuss</w:t>
            </w:r>
          </w:p>
        </w:tc>
        <w:tc>
          <w:tcPr>
            <w:tcW w:type="dxa" w:w="3024"/>
          </w:tcPr>
          <w:p>
            <w:r>
              <w:rPr>
                <w:rFonts w:ascii="Times New Roman" w:hAnsi="Times New Roman"/>
                <w:sz w:val="20"/>
              </w:rPr>
              <w:t>+298,00 EUR</w:t>
            </w:r>
          </w:p>
        </w:tc>
      </w:tr>
      <w:tr>
        <w:tc>
          <w:tcPr>
            <w:tcW w:type="dxa" w:w="3024"/>
          </w:tcPr>
          <w:p>
            <w:r>
              <w:rPr>
                <w:rFonts w:ascii="Times New Roman" w:hAnsi="Times New Roman"/>
                <w:sz w:val="20"/>
              </w:rPr>
              <w:t>28.04.2026</w:t>
            </w:r>
          </w:p>
        </w:tc>
        <w:tc>
          <w:tcPr>
            <w:tcW w:type="dxa" w:w="3024"/>
          </w:tcPr>
          <w:p>
            <w:r>
              <w:rPr>
                <w:rFonts w:ascii="Times New Roman" w:hAnsi="Times New Roman"/>
                <w:sz w:val="20"/>
              </w:rPr>
              <w:t>Miete Klingspor GmbH</w:t>
            </w:r>
          </w:p>
        </w:tc>
        <w:tc>
          <w:tcPr>
            <w:tcW w:type="dxa" w:w="3024"/>
          </w:tcPr>
          <w:p>
            <w:r>
              <w:rPr>
                <w:rFonts w:ascii="Times New Roman" w:hAnsi="Times New Roman"/>
                <w:sz w:val="20"/>
              </w:rPr>
              <w:t>-690,00 EUR</w:t>
            </w:r>
          </w:p>
        </w:tc>
      </w:tr>
    </w:tbl>
    <w:p>
      <w:pPr>
        <w:jc w:val="left"/>
      </w:pPr>
      <w:r>
        <w:t>Frau Reuter rechnet vor:</w:t>
      </w:r>
    </w:p>
    <w:p>
      <w:pPr>
        <w:pStyle w:val="ListBullet"/>
      </w:pPr>
      <w:r>
        <w:t>Eingänge Anfang Juni: 1.079,56 EUR (neuer Bürgergeldsatz) + 255 EUR + 298 EUR = 1.632,56 EUR.</w:t>
      </w:r>
    </w:p>
    <w:p>
      <w:pPr>
        <w:pStyle w:val="ListBullet"/>
      </w:pPr>
      <w:r>
        <w:t>Abgänge Juni: Miete 690 EUR, Strom 78 EUR, Monatskarte 69,80 EUR, Lebensmittel ca. 380 EUR, Telefon 24,99 EUR. Verbleibend ca. 389 EUR für Drogerie, Kinderkleidung, Klassenfahrt-Anzahlung (130 EUR Ende Juni fällig), Geburtstagsgeschenk Jonas.</w:t>
      </w:r>
    </w:p>
    <w:p>
      <w:pPr>
        <w:pStyle w:val="ListBullet"/>
      </w:pPr>
      <w:r>
        <w:t>Eine Zahlung von 812,44 EUR ist nicht möglich. Raten von 40 EUR wären knapp möglich, aber die Hausverwaltung hat darauf noch nicht reagiert.</w:t>
      </w:r>
    </w:p>
    <w:p>
      <w:pPr>
        <w:pStyle w:val="Heading2"/>
      </w:pPr>
      <w:r>
        <w:rPr>
          <w:rFonts w:ascii="Times New Roman" w:hAnsi="Times New Roman"/>
        </w:rPr>
        <w:t>Belege zur Wohnung und zum Heizverhalten</w:t>
      </w:r>
    </w:p>
    <w:p>
      <w:pPr>
        <w:pStyle w:val="ListBullet"/>
      </w:pPr>
      <w:r>
        <w:t>Foto Schimmelstelle Fensterlaibung Kinderzimmer, Januar 2026 (IMG_LR_0112.jpg).</w:t>
      </w:r>
    </w:p>
    <w:p>
      <w:pPr>
        <w:pStyle w:val="ListBullet"/>
      </w:pPr>
      <w:r>
        <w:t>Foto Fensterdichtung Wohnzimmer mit Riss, Februar 2026 (IMG_LR_0233.jpg).</w:t>
      </w:r>
    </w:p>
    <w:p>
      <w:pPr>
        <w:pStyle w:val="ListBullet"/>
      </w:pPr>
      <w:r>
        <w:t>E-Mail an Hausverwaltung vom 8. Februar 2026 wegen kalter Außenwand, Bitte um Reparatur.</w:t>
      </w:r>
    </w:p>
    <w:p>
      <w:pPr>
        <w:pStyle w:val="ListBullet"/>
      </w:pPr>
      <w:r>
        <w:t>Antwort Hausverwaltung vom 13. Februar 2026: "Wir prüfen im Frühjahr."</w:t>
      </w:r>
    </w:p>
    <w:p>
      <w:pPr>
        <w:pStyle w:val="ListBullet"/>
      </w:pPr>
      <w:r>
        <w:t>E-Mail Mahnung Frau Reuter an Hausverwaltung vom 28. April 2026 zur Fensterdichtung — bisher keine Reaktion.</w:t>
      </w:r>
    </w:p>
    <w:p>
      <w:pPr>
        <w:pStyle w:val="ListBullet"/>
      </w:pPr>
      <w:r>
        <w:t>Schulbescheinigung Jonas Reuter, Grundschule Lindenau (für Schulwegnachweis).</w:t>
      </w:r>
    </w:p>
    <w:p>
      <w:pPr>
        <w:pStyle w:val="ListBullet"/>
      </w:pPr>
      <w:r>
        <w:t>Berechnung Heizverbrauch pro m²: 2.492,44 EUR / 58,4 m² = 42,68 EUR/m²/Jahr (deutlich über Bundesschnitt 17,30 EUR).</w:t>
      </w:r>
    </w:p>
    <w:p>
      <w:pPr>
        <w:pStyle w:val="ListBullet"/>
      </w:pPr>
      <w:r>
        <w:t>Jonas Reuter, Anlage Attest siehe separate Datei.</w:t>
      </w:r>
    </w:p>
    <w:p>
      <w:pPr>
        <w:pStyle w:val="Heading2"/>
      </w:pPr>
      <w:r>
        <w:rPr>
          <w:rFonts w:ascii="Times New Roman" w:hAnsi="Times New Roman"/>
        </w:rPr>
        <w:t>Notiz Frau Reuter zum Heizverhalten</w:t>
      </w:r>
    </w:p>
    <w:p>
      <w:pPr>
        <w:ind w:left="567"/>
      </w:pPr>
      <w:r>
        <w:rPr>
          <w:i/>
        </w:rPr>
        <w:t>Im Wohnzimmer war es im Januar morgens 16 °C, obwohl die Heizung auf Stufe 4 lief. Ich habe ein Foto vom Raumthermometer (IMG_LR_0156.jpg). Tagsüber war Jonas oft im Wohnzimmer wegen Hausaufgaben. Ich habe deshalb die Heizung nicht runtergedreht. Im Schlafzimmer haben wir nur abends geheizt.</w:t>
      </w:r>
    </w:p>
    <w:sectPr w:rsidR="00FC693F" w:rsidRPr="0006063C" w:rsidSect="00034616">
      <w:pgSz w:w="11906" w:h="16838"/>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b/>
      <w:bCs/>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b/>
      <w:bCs/>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b/>
      <w:bCs/>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