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Tax Due Diligence: Steuerliche Prüfung inkl. Polen-Sachverhalt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Steuerberater:</w:t>
      </w:r>
      <w:r>
        <w:t xml:space="preserve"> StB Dr. Helmut Haslinger, KPMG München; StB Krzysztof Wojciechowski, KPMG Warschau</w:t>
      </w:r>
    </w:p>
    <w:p>
      <w:pPr>
        <w:jc w:val="left"/>
      </w:pPr>
      <w:r>
        <w:rPr>
          <w:b/>
        </w:rPr>
        <w:t>Berichtsdatum:</w:t>
      </w:r>
      <w:r>
        <w:t xml:space="preserve"> 25. Februar 2026</w:t>
      </w:r>
    </w:p>
    <w:p>
      <w:pPr>
        <w:jc w:val="left"/>
      </w:pPr>
      <w:r>
        <w:rPr>
          <w:b/>
        </w:rPr>
        <w:t>Vertraulichkeitsstufe:</w:t>
      </w:r>
      <w:r>
        <w:t xml:space="preserve"> Nur Mandant und Kanzlei / Attorney-Client Privilege</w:t>
      </w:r>
    </w:p>
    <w:p/>
    <w:p>
      <w:pPr>
        <w:pStyle w:val="Heading2"/>
      </w:pPr>
      <w:r>
        <w:rPr>
          <w:rFonts w:ascii="Times New Roman" w:hAnsi="Times New Roman"/>
        </w:rPr>
        <w:t>1. Steuerliche Struktur Pellbach-Gruppe</w:t>
      </w:r>
    </w:p>
    <w:p>
      <w:pPr>
        <w:jc w:val="left"/>
      </w:pPr>
      <w:r>
        <w:t xml:space="preserve">Die Pellbach Werkzeugbau GmbH &amp; Co. KG ist mit ihrer Komplementär-GmbH </w:t>
      </w:r>
      <w:r>
        <w:rPr>
          <w:b/>
        </w:rPr>
        <w:t>nicht gewerbesteuerlich verbunden</w:t>
      </w:r>
      <w:r>
        <w:t xml:space="preserve"> (keine Organschaft KG-Ebene). Die Pellbach Verwaltungs-GmbH bildet keine steuerliche Einheit. Gewerbesteuerhebesatz Passau: 350 %. Effektive Gesamtsteuerquote (KSt + GewSt + SolZ) KG-Ebene mittelbar über Gesellschafter: ca. 26,4 %.</w:t>
      </w:r>
    </w:p>
    <w:p>
      <w:pPr>
        <w:jc w:val="left"/>
      </w:pPr>
      <w:r>
        <w:t>Für die Suzhou-Gesellschaft gilt: Transfer-Pricing-Dokumentation vorhanden; Intercompany-Verrechnungspreise für Werkzeug-Lieferungen: cost-plus 8 %, innerhalb OECD-Arm's-Length-Grundsätzen. Steuerrisikovorbehalt China: Verrechnungspreis-Anpassungsrisiko geschätzt TEUR 180.</w:t>
      </w:r>
    </w:p>
    <w:p/>
    <w:p>
      <w:pPr>
        <w:pStyle w:val="Heading2"/>
      </w:pPr>
      <w:r>
        <w:rPr>
          <w:rFonts w:ascii="Times New Roman" w:hAnsi="Times New Roman"/>
        </w:rPr>
        <w:t>2. Wesentliche Steuerrisiken aus der Tax-DD</w:t>
      </w:r>
    </w:p>
    <w:p>
      <w:pPr>
        <w:pStyle w:val="Heading3"/>
      </w:pPr>
      <w:r>
        <w:rPr>
          <w:rFonts w:ascii="Times New Roman" w:hAnsi="Times New Roman"/>
        </w:rPr>
        <w:t>2.1 Gewerbesteuer-Hinzurechnungen</w:t>
      </w:r>
    </w:p>
    <w:p>
      <w:pPr>
        <w:jc w:val="left"/>
      </w:pPr>
      <w:r>
        <w:t>§ 8 Nr. 1 GewStG: Zinsaufwendungen und Mietzahlungen unterliegen Hinzurechnungspflicht. KPMG-Prüfung: Miete Werkshalle Passau II (Eigentümer Reinhard Pellbach-Wittfeldt privat; Miete 540 TEUR p.a.) ist zu 25 % hinzuzurechnen; korrekt abgebildet in Jahresabschlüssen.</w:t>
      </w:r>
    </w:p>
    <w:p>
      <w:pPr>
        <w:pStyle w:val="Heading3"/>
      </w:pPr>
      <w:r>
        <w:rPr>
          <w:rFonts w:ascii="Times New Roman" w:hAnsi="Times New Roman"/>
        </w:rPr>
        <w:t>2.2 Verdeckte Gewinnausschüttungen (vGA)</w:t>
      </w:r>
    </w:p>
    <w:p>
      <w:pPr>
        <w:jc w:val="left"/>
      </w:pPr>
      <w:r>
        <w:t>Risiko aus Vereinbarungen Reinhard-Pellbach-Privat: Beratungsvertrag Reinhard (Consulting Agreement) ab 2021: 180 TEUR p.a. KPMG-Einschätzung: Fremdvergleich fraglich; ca. 80 TEUR p.a. könnten als vGA qualifiziert werden → Nachsteuerrisiko ca. 110 TEUR (4 Jahre; KapErtrSt 25 % zzgl. SolZ).</w:t>
      </w:r>
    </w:p>
    <w:p>
      <w:pPr>
        <w:pStyle w:val="Heading3"/>
      </w:pPr>
      <w:r>
        <w:rPr>
          <w:rFonts w:ascii="Times New Roman" w:hAnsi="Times New Roman"/>
        </w:rPr>
        <w:t>2.3 Schwarze Kasse Polen (Rote Finding R-01)</w:t>
      </w:r>
    </w:p>
    <w:p>
      <w:pPr>
        <w:jc w:val="left"/>
      </w:pPr>
      <w:r>
        <w:t>Im Rahmen der Tax-DD-Prüfung der Pellbach Werkzeugbau Polska Sp. z o.o. (Wroclaw) durch KPMG Warschau wurden Unstimmigkeiten in Kassenkonten 2020-2023 aufgedeckt:</w:t>
      </w:r>
    </w:p>
    <w:p>
      <w:pPr>
        <w:pStyle w:val="ListBullet"/>
      </w:pPr>
      <w:r>
        <w:t>Zeitraum: 2020-2023 (4 Geschäftsjahre)</w:t>
      </w:r>
    </w:p>
    <w:p>
      <w:pPr>
        <w:pStyle w:val="ListBullet"/>
      </w:pPr>
      <w:r>
        <w:t>Betrag: ca. PLN 1,9 Mio. (entspricht ca. 380 TEUR), nicht verbuchte Provisionen an Vertriebsvermittler in Polen und der Ukraine</w:t>
      </w:r>
    </w:p>
    <w:p>
      <w:pPr>
        <w:pStyle w:val="ListBullet"/>
      </w:pPr>
      <w:r>
        <w:t>Qualifikation: Wahrscheinlich Schmiergeldzahlungen i.S.v. § 299 StGB (Bestechung im geschäftlichen Verkehr); aus Sicht des deutschen Steuerrechts nicht abzugsfähige Betriebsausgaben (§ 4 Abs. 5 Nr. 10 EStG); aus Sicht der polnischen Finanzbehörde: Steuerverkürzung</w:t>
      </w:r>
    </w:p>
    <w:p>
      <w:pPr>
        <w:pStyle w:val="ListBullet"/>
      </w:pPr>
      <w:r>
        <w:t>Gefährdung: Strafanzeige durch polnische Finanzbehörden; mögliche Haftung Lucas Pellbach als Geschäftsführer (faktisch)</w:t>
      </w:r>
    </w:p>
    <w:p>
      <w:pPr>
        <w:pStyle w:val="ListBullet"/>
      </w:pPr>
      <w:r>
        <w:t>Selbstanzeige (§ 371 AO): StB Haslinger hat Selbstanzeige-Prüfung aufgenommen; Wirksamkeit setzt vollständige Offenbarung und Nachzahlung voraus; Sperrgründe (§ 371 Abs. 2 AO) müssen ausgeschlossen sein; Frist: vor Einleitung Ermittlungsverfahrens</w:t>
      </w:r>
    </w:p>
    <w:p>
      <w:pPr>
        <w:pStyle w:val="ListBullet"/>
      </w:pPr>
      <w:r>
        <w:t>SPA-Konsequenz: Verkäufer-Indemnity für Steuernachforderungen aus Polen-Sachverhalt; Escrow-Einbehalt 500 TEUR für 5 Jahre (Verjährung § 169 Abs. 2 AO: 10 Jahre bei Steuerhinterziehung)</w:t>
      </w:r>
    </w:p>
    <w:p>
      <w:pPr>
        <w:jc w:val="left"/>
      </w:pPr>
      <w:r>
        <w:rPr>
          <w:b/>
        </w:rPr>
        <w:t>Empfehlung:</w:t>
      </w:r>
      <w:r>
        <w:t xml:space="preserve"> Strafverteidiger einschalten; KPMG-Warschau-Report ist mandatsgebunden und nicht an Käufer herauszugeben, bis interne Klärung abgeschlossen.</w:t>
      </w:r>
    </w:p>
    <w:p/>
    <w:p>
      <w:pPr>
        <w:pStyle w:val="Heading2"/>
      </w:pPr>
      <w:r>
        <w:rPr>
          <w:rFonts w:ascii="Times New Roman" w:hAnsi="Times New Roman"/>
        </w:rPr>
        <w:t>3. Earn-Out: Steuerliche Einordnung</w:t>
      </w:r>
    </w:p>
    <w:p>
      <w:pPr>
        <w:jc w:val="left"/>
      </w:pPr>
      <w:r>
        <w:t>Earn-Out-Zahlungen sind beim Verkäufer (natürliche Person Reinhard) als nachträglicher Veräußerungserlös nach § 17 EStG (Anteile GmbH) bzw. § 16 EStG (Kommanditanteil) zu erfassen im Jahr des Zuflusses 2028/2029. Teileinkünfteverfahren (§ 3 Nr. 40 EStG) findet Anwendung auf die GmbH-Anteile. Günstig für Reinhard.</w:t>
      </w:r>
    </w:p>
    <w:p/>
    <w:p>
      <w:pPr>
        <w:pStyle w:val="Heading2"/>
      </w:pPr>
      <w:r>
        <w:rPr>
          <w:rFonts w:ascii="Times New Roman" w:hAnsi="Times New Roman"/>
        </w:rPr>
        <w:t>4. Strukturierungsoptionen</w:t>
      </w:r>
    </w:p>
    <w:p>
      <w:pPr>
        <w:jc w:val="left"/>
      </w:pPr>
      <w:r>
        <w:t>KPMG empfiehlt: Doppelte Steuerstrategie bei Anteilsübertragung: (a) Freibetrag § 16 Abs. 4 EStG (45 TEUR, einmalig, soweit nicht bereits verbraucht) und (b) 5/6-Progressionsvorbehalt-Regelung (§ 34 EStG); Zusammenballung außerordentliche Einkünfte. Berechnung: Grenzsteuersatz Reinhard 42 % + SolZ; Tarifbegünstigung nach § 34 EStG: effektiv ca. 36 %. Steuerersparnis geschätzt: 680 TEUR.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