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Legal Due Diligence: Arbeitsrecht und § 613a BGB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Bearbeiterin Arbeitsrecht:</w:t>
      </w:r>
      <w:r>
        <w:t xml:space="preserve"> RAin Katharina Finsterer, Schwingenstein und Partner München</w:t>
      </w:r>
    </w:p>
    <w:p>
      <w:pPr>
        <w:jc w:val="left"/>
      </w:pPr>
      <w:r>
        <w:rPr>
          <w:b/>
        </w:rPr>
        <w:t>Datum:</w:t>
      </w:r>
      <w:r>
        <w:t xml:space="preserve"> 28. Februar 2026</w:t>
      </w:r>
    </w:p>
    <w:p/>
    <w:p>
      <w:pPr>
        <w:pStyle w:val="Heading2"/>
      </w:pPr>
      <w:r>
        <w:rPr>
          <w:rFonts w:ascii="Times New Roman" w:hAnsi="Times New Roman"/>
        </w:rPr>
        <w:t>1. Betriebsübergang und § 613a BGB</w:t>
      </w:r>
    </w:p>
    <w:p>
      <w:pPr>
        <w:pStyle w:val="Heading3"/>
      </w:pPr>
      <w:r>
        <w:rPr>
          <w:rFonts w:ascii="Times New Roman" w:hAnsi="Times New Roman"/>
        </w:rPr>
        <w:t>Anwendbarkeit</w:t>
      </w:r>
    </w:p>
    <w:p>
      <w:pPr>
        <w:jc w:val="left"/>
      </w:pPr>
      <w:r>
        <w:t xml:space="preserve">Der vorliegende Share Deal führt gesellschaftsrechtlich </w:t>
      </w:r>
      <w:r>
        <w:rPr>
          <w:b/>
        </w:rPr>
        <w:t>nicht</w:t>
      </w:r>
      <w:r>
        <w:t xml:space="preserve"> zu einem Betriebsübergang i.S.v. § 613a BGB, da die Zielgesellschaft (Pellbach Werkzeugbau GmbH &amp; Co. KG) als Rechtsträger erhalten bleibt und lediglich die Gesellschaftsanteile auf den Käufer übertragen werden. Ein Betriebsübergang tritt nur bei Übertragung des Betriebs oder Betriebsteils ein, nicht bei Gesellschafteroder Anteilswechsel.</w:t>
      </w:r>
    </w:p>
    <w:p>
      <w:pPr>
        <w:jc w:val="left"/>
      </w:pPr>
      <w:r>
        <w:rPr>
          <w:b/>
        </w:rPr>
        <w:t>Ausnahme:</w:t>
      </w:r>
      <w:r>
        <w:t xml:space="preserve"> Die geplante Herauslösung des Geschäftsbereichs Präzisionsdrehteile (Rinner Präzisionsdrehteile GmbH, Deggendorf) aus dem Target und Übertragung an Annegret Pellbach-Roosendaal </w:t>
      </w:r>
      <w:r>
        <w:rPr>
          <w:b/>
        </w:rPr>
        <w:t>kann</w:t>
      </w:r>
      <w:r>
        <w:t xml:space="preserve"> einen Betriebsübergang nach § 613a BGB auslösen, wenn der Bereich als abtrennbare wirtschaftliche Einheit qualifiziert. Unterrichtungsschreiben an die 44 betroffenen Mitarbeitern in Deggendorf erforderlich.</w:t>
      </w:r>
    </w:p>
    <w:p>
      <w:pPr>
        <w:pStyle w:val="Heading3"/>
      </w:pPr>
      <w:r>
        <w:rPr>
          <w:rFonts w:ascii="Times New Roman" w:hAnsi="Times New Roman"/>
        </w:rPr>
        <w:t>Betriebsrat-Unterrichtung (§ 613a Abs. 5 BGB)</w:t>
      </w:r>
    </w:p>
    <w:p>
      <w:pPr>
        <w:jc w:val="left"/>
      </w:pPr>
      <w:r>
        <w:t>Auch ohne formalen Betriebsübergang durch den Share Deal fordert der Betriebsrat Unterrichtung. Betriebsrat Pellbach Werkzeugbau (Werk Passau I + II gemeinsam): 9 Mitglieder; Vorsitzender: Klaus-Dieter Mittermeier. Gemäß § 111 BetrVG ist bei wesentlicher Änderung der Betriebsorganisation (Herauslösung Rinner-Bereich) ein Interessenausgleich zu versuchen.</w:t>
      </w:r>
    </w:p>
    <w:p/>
    <w:p>
      <w:pPr>
        <w:pStyle w:val="Heading2"/>
      </w:pPr>
      <w:r>
        <w:rPr>
          <w:rFonts w:ascii="Times New Roman" w:hAnsi="Times New Roman"/>
        </w:rPr>
        <w:t>2. Pensionszusagen</w:t>
      </w:r>
    </w:p>
    <w:p>
      <w:pPr>
        <w:pStyle w:val="Heading3"/>
      </w:pPr>
      <w:r>
        <w:rPr>
          <w:rFonts w:ascii="Times New Roman" w:hAnsi="Times New Roman"/>
        </w:rPr>
        <w:t>Pensionszusage Reinhard Pellbach-Wittfeldt (Rote Finding R-02)</w:t>
      </w:r>
    </w:p>
    <w:p>
      <w:pPr>
        <w:jc w:val="left"/>
      </w:pPr>
      <w:r>
        <w:t>Reinhard erhält aus seiner Zeit als faktischer Geschäftsführer (1981-2012) eine bAV-Pensionszusage. Eckdaten:</w:t>
      </w:r>
    </w:p>
    <w:p>
      <w:pPr>
        <w:pStyle w:val="ListBullet"/>
      </w:pPr>
      <w:r>
        <w:t>Versorgungsleistung: monatlich 12.500 EUR ab vollendetem 75. Lebensjahr (Reinhard ist 78, läuft bereits)</w:t>
      </w:r>
    </w:p>
    <w:p>
      <w:pPr>
        <w:pStyle w:val="ListBullet"/>
      </w:pPr>
      <w:r>
        <w:t>Laufende Zahlungen: 12.500 EUR x 12 = 150.000 EUR p.a.</w:t>
      </w:r>
    </w:p>
    <w:p>
      <w:pPr>
        <w:pStyle w:val="ListBullet"/>
      </w:pPr>
      <w:r>
        <w:t>Restlaufzeit (statistische Lebenserwartung 87): ca. 9 Jahre</w:t>
      </w:r>
    </w:p>
    <w:p>
      <w:pPr>
        <w:pStyle w:val="ListBullet"/>
      </w:pPr>
      <w:r>
        <w:t>DBO (Defined Benefit Obligation) nach IFRS 19: 4,1 Mio. EUR (Gutachter: Actuarium GmbH Regensburg)</w:t>
      </w:r>
    </w:p>
    <w:p>
      <w:pPr>
        <w:pStyle w:val="ListBullet"/>
      </w:pPr>
      <w:r>
        <w:t>HGB-Rückstellung per 31.12.2024 (§ 253 Abs. 2 HGB, RT 2005 G, Rechnungszins 3,2 %): 2,6 Mio. EUR</w:t>
      </w:r>
    </w:p>
    <w:p>
      <w:pPr>
        <w:pStyle w:val="ListBullet"/>
      </w:pPr>
      <w:r>
        <w:rPr>
          <w:b/>
        </w:rPr>
        <w:t>Deckungslücke: 1,5 Mio. EUR</w:t>
      </w:r>
      <w:r>
        <w:t xml:space="preserve"> — Käufer (Steinheim) verlangt vollständige Indemnity</w:t>
      </w:r>
    </w:p>
    <w:p>
      <w:pPr>
        <w:jc w:val="left"/>
      </w:pPr>
      <w:r>
        <w:rPr>
          <w:b/>
        </w:rPr>
        <w:t>Verhandlungsstand:</w:t>
      </w:r>
      <w:r>
        <w:t xml:space="preserve"> Reinhard bietet Kaufpreisminderung um 1,0 Mio. EUR plus persönliche Bürgschaft für weitere 500 TEUR. Käufer besteht auf 1,5 Mio. EUR-Indemnity vollständig. Escrow-Lösung in Diskussion.</w:t>
      </w:r>
    </w:p>
    <w:p/>
    <w:p>
      <w:pPr>
        <w:pStyle w:val="Heading2"/>
      </w:pPr>
      <w:r>
        <w:rPr>
          <w:rFonts w:ascii="Times New Roman" w:hAnsi="Times New Roman"/>
        </w:rPr>
        <w:t>3. Betriebsrat: Standortgarantie-Forderung</w:t>
      </w:r>
    </w:p>
    <w:p>
      <w:pPr>
        <w:jc w:val="left"/>
      </w:pPr>
      <w:r>
        <w:t>Betriebsrat-Vorsitzender Mittermeier hat mit Schreiben vom 15.03.2026 folgende Forderungen formuliert:</w:t>
      </w:r>
    </w:p>
    <w:p>
      <w:pPr>
        <w:pStyle w:val="ListNumber"/>
      </w:pPr>
      <w:r>
        <w:t>Standortgarantie Passau I und II für mindestens 5 Jahre (keine Verlagerung Produktion ins Ausland)</w:t>
      </w:r>
    </w:p>
    <w:p>
      <w:pPr>
        <w:pStyle w:val="ListNumber"/>
      </w:pPr>
      <w:r>
        <w:t>Beschäftigungssicherung: Keine betriebsbedingten Kündigungen bis 31.12.2028</w:t>
      </w:r>
    </w:p>
    <w:p>
      <w:pPr>
        <w:pStyle w:val="ListNumber"/>
      </w:pPr>
      <w:r>
        <w:t>Betriebsvereinbarung über Mitarbeiterbeteiligung bei Earn-Out-Erreichen</w:t>
      </w:r>
    </w:p>
    <w:p>
      <w:pPr>
        <w:pStyle w:val="ListNumber"/>
      </w:pPr>
      <w:r>
        <w:t>Mitbestimmungsrecht bei etwaigen Auslagerungen an Steinheim-Portfolio-Unternehmen</w:t>
      </w:r>
    </w:p>
    <w:p>
      <w:pPr>
        <w:jc w:val="left"/>
      </w:pPr>
      <w:r>
        <w:rPr>
          <w:b/>
        </w:rPr>
        <w:t>Rechtliche Einordnung:</w:t>
      </w:r>
      <w:r>
        <w:t xml:space="preserve"> Standortgarantien sind nicht erzwingbar im Rahmen der Mitbestimmung; sie können jedoch freiwillig in einem Interessenausgleich festgehalten werden. § 613a BGB-Unterrichtungsschreiben wird vorbereitet (→ Aktenstück 17). Einigungsstelle droht nach § 76 BetrVG, falls kein Interessenausgleich bis 30.04.2026.</w:t>
      </w:r>
    </w:p>
    <w:p/>
    <w:p>
      <w:pPr>
        <w:pStyle w:val="Heading2"/>
      </w:pPr>
      <w:r>
        <w:rPr>
          <w:rFonts w:ascii="Times New Roman" w:hAnsi="Times New Roman"/>
        </w:rPr>
        <w:t>4. Weitere arbeitsrechtliche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Finding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Handlungsbedarf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 befristete MA (§ 14 TzBfG)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Kettenbefristungsrisiko: 4 MA &gt; 2 Jahre mit Sachgrund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Garantie + Indemnity im SPA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Geringfügig Beschäftigte (7 MA Werk Passau I)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Korrekte SV-Abführung geprüft ✓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Überstundenguthaben Führungskräfte (82.000 EUR kumuliert)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Entlohnung oder Freizeit; Risiko Auszahlung bei Kündigung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Disclosure Letter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Bonusvereinbarung Lucas Pellbach (2024: 280 TEUR)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Change-of-Control-Klausel im Dienstvertrag? Nein — angepasst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SPA-Garantie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Tarifbindung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tarifgebunden; Haustarifvertrag nicht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Bearbeiterin:</w:t>
      </w:r>
      <w:r>
        <w:t xml:space="preserve"> RAin Katharina Finsterer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