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07 — Legal Due Diligence: IT, IP und Datenschutz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Bearbeiter IT/IP:</w:t>
      </w:r>
      <w:r>
        <w:t xml:space="preserve"> RA Dr. Steffen Brandner, Schwingenstein und Partner München</w:t>
      </w:r>
    </w:p>
    <w:p>
      <w:pPr>
        <w:jc w:val="left"/>
      </w:pPr>
      <w:r>
        <w:rPr>
          <w:b/>
        </w:rPr>
        <w:t>Datum:</w:t>
      </w:r>
      <w:r>
        <w:t xml:space="preserve"> 01. März 2026</w:t>
      </w:r>
    </w:p>
    <w:p/>
    <w:p>
      <w:pPr>
        <w:pStyle w:val="Heading2"/>
      </w:pPr>
      <w:r>
        <w:rPr>
          <w:rFonts w:ascii="Times New Roman" w:hAnsi="Times New Roman"/>
        </w:rPr>
        <w:t>1. IT-Lizenzaudit — SAP</w:t>
      </w:r>
    </w:p>
    <w:p>
      <w:pPr>
        <w:pStyle w:val="Heading3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Pellbach Werkzeugbau betreibt SAP S/4HANA (On-Premise, Lizenz 2019) für ERP (FI, CO, MM, PP, SD). Im Rahmen der VDD wurde ein SAP-Lizenz-Audit aus dem Jahr 2025 bekannt, das noch nicht abgeschlossen ist.</w:t>
      </w:r>
    </w:p>
    <w:p>
      <w:pPr>
        <w:pStyle w:val="Heading3"/>
      </w:pPr>
      <w:r>
        <w:rPr>
          <w:rFonts w:ascii="Times New Roman" w:hAnsi="Times New Roman"/>
        </w:rPr>
        <w:t>Befunde</w:t>
      </w:r>
    </w:p>
    <w:p>
      <w:pPr>
        <w:pStyle w:val="ListBullet"/>
      </w:pPr>
      <w:r>
        <w:t>SAP-Lizenzmessung (USMM-Report März 2025): Named User: 87 vertraglich, 104 tatsächlich aktiv → Unterdeckung 17 Named User Professional (ca. 68 TEUR Nachzahlung geschätzt)</w:t>
      </w:r>
    </w:p>
    <w:p>
      <w:pPr>
        <w:pStyle w:val="ListBullet"/>
      </w:pPr>
      <w:r>
        <w:t>Suzhou WFOE: Betreibt SAP auf chinesischem Server; Sub-Lizenz vom deutschen Hauptlizenzvertrag nicht explizit geregelt → SAP-Risiko Unterlizenzen China: bis 150 TEUR</w:t>
      </w:r>
    </w:p>
    <w:p>
      <w:pPr>
        <w:pStyle w:val="ListBullet"/>
      </w:pPr>
      <w:r>
        <w:rPr>
          <w:b/>
        </w:rPr>
        <w:t>Gesamtrisiko SAP-Audit: ca. 218 TEUR</w:t>
      </w:r>
      <w:r>
        <w:t>; Verkäufer stellt Indemnity bereit (Disclosure Letter)</w:t>
      </w:r>
    </w:p>
    <w:p/>
    <w:p>
      <w:pPr>
        <w:pStyle w:val="Heading2"/>
      </w:pPr>
      <w:r>
        <w:rPr>
          <w:rFonts w:ascii="Times New Roman" w:hAnsi="Times New Roman"/>
        </w:rPr>
        <w:t>2. Eigenentwicklungen und IP</w:t>
      </w:r>
    </w:p>
    <w:p>
      <w:pPr>
        <w:pStyle w:val="Heading3"/>
      </w:pPr>
      <w:r>
        <w:rPr>
          <w:rFonts w:ascii="Times New Roman" w:hAnsi="Times New Roman"/>
        </w:rPr>
        <w:t>Werkzeugauslegungs-Software „PellCAD 3.0"</w:t>
      </w:r>
    </w:p>
    <w:p>
      <w:pPr>
        <w:jc w:val="left"/>
      </w:pPr>
      <w:r>
        <w:t>Eigenentwicklung seit 2016; ca. 4,5 Mio. EUR Entwicklungskosten; Urheberrechte liegen bei der KG (Arbeitnehmererfindungen § 7 ArbNErfG korrekt abgelöst). Kein Drittanbieter-IP eingeflossen. Lizenz an Suzhou-Tochter vorhanden (schriftlicher Lizenzvertrag 2019).</w:t>
      </w:r>
    </w:p>
    <w:p>
      <w:pPr>
        <w:pStyle w:val="Heading3"/>
      </w:pPr>
      <w:r>
        <w:rPr>
          <w:rFonts w:ascii="Times New Roman" w:hAnsi="Times New Roman"/>
        </w:rPr>
        <w:t>Marken</w:t>
      </w:r>
    </w:p>
    <w:p>
      <w:pPr>
        <w:jc w:val="left"/>
      </w:pPr>
      <w:r>
        <w:t>„PellCAD" und „Pellbach Werkzeugbau" als Wortmarken beim DPMA eingetragen (Nr. 302019000441 und 302019000442); EU-Unionsmarken beantragt 2021, erteilt 2022.</w:t>
      </w:r>
    </w:p>
    <w:p/>
    <w:p>
      <w:pPr>
        <w:pStyle w:val="Heading2"/>
      </w:pPr>
      <w:r>
        <w:rPr>
          <w:rFonts w:ascii="Times New Roman" w:hAnsi="Times New Roman"/>
        </w:rPr>
        <w:t>3. DSGVO-Compliance</w:t>
      </w:r>
    </w:p>
    <w:p>
      <w:pPr>
        <w:pStyle w:val="ListBullet"/>
      </w:pPr>
      <w:r>
        <w:t>Datenschutzbeauftragter: extern (Kanzlei Datenwächter GbR, Regensburg); Verzeichnis der Verarbeitungstätigkeiten vorhanden, zuletzt aktualisiert 02/2025</w:t>
      </w:r>
    </w:p>
    <w:p>
      <w:pPr>
        <w:pStyle w:val="ListBullet"/>
      </w:pPr>
      <w:r>
        <w:t>Kundendaten: B2B; kein Consumer-Business; DSGVO-Risiko überschaubar</w:t>
      </w:r>
    </w:p>
    <w:p>
      <w:pPr>
        <w:pStyle w:val="ListBullet"/>
      </w:pPr>
      <w:r>
        <w:t>China: Personendatenübermittlung an Suzhou nach Art. 46 Abs. 2 DSGVO (SCCs 2021): SCCs-Vertragsanbahnung mit Suzhou abgeschlossen; technische Schutzmaßnahmen (Verschlüsselung) implementiert</w:t>
      </w:r>
    </w:p>
    <w:p>
      <w:pPr>
        <w:pStyle w:val="ListBullet"/>
      </w:pPr>
      <w:r>
        <w:t>China PIPL: China Personal Information Protection Law (2021) — Pelbach Suzhou hat lokale Compliance-Prüfung durchgeführt; Ergebnis: weitgehend compliant; ein offener Punkt (Aufbewahrungsfristen Produktionsdaten)</w:t>
      </w:r>
    </w:p>
    <w:p/>
    <w:p>
      <w:pPr>
        <w:pStyle w:val="Heading2"/>
      </w:pPr>
      <w:r>
        <w:rPr>
          <w:rFonts w:ascii="Times New Roman" w:hAnsi="Times New Roman"/>
        </w:rPr>
        <w:t>4. OT-Security (Operational Technology, Produktion)</w:t>
      </w:r>
    </w:p>
    <w:p>
      <w:pPr>
        <w:pStyle w:val="ListBullet"/>
      </w:pPr>
      <w:r>
        <w:t>Werke Passau I und II: Produktionsanlagen SPS-gesteuert (Siemens S7); Netzwerktrennung IT/OT: teilweise (VLAN implementiert, jedoch kein vollständiges Air-Gap)</w:t>
      </w:r>
    </w:p>
    <w:p>
      <w:pPr>
        <w:pStyle w:val="ListBullet"/>
      </w:pPr>
      <w:r>
        <w:t>Penetrationstest-Ergebnis 2025: 3 kritische Schwachstellen in Siemens-Steuerung identifiziert; gepatcht Q4 2025</w:t>
      </w:r>
    </w:p>
    <w:p>
      <w:pPr>
        <w:pStyle w:val="ListBullet"/>
      </w:pPr>
      <w:r>
        <w:t>Cyber-Versicherung: vorhanden (Allianz, 5 Mio. EUR Deckung)</w:t>
      </w:r>
    </w:p>
    <w:p>
      <w:pPr>
        <w:pStyle w:val="ListBullet"/>
      </w:pPr>
      <w:r>
        <w:rPr>
          <w:b/>
        </w:rPr>
        <w:t>DD-Empfehlung:</w:t>
      </w:r>
      <w:r>
        <w:t xml:space="preserve"> Sicherheitsaudit vor Closing durch neutralen Dritten (Budget ca. 80 TEUR); W&amp;I-Versicherer hat OT-Audit als Auflage genannt</w:t>
      </w:r>
    </w:p>
    <w:p/>
    <w:p>
      <w:pPr>
        <w:pStyle w:val="Heading2"/>
      </w:pPr>
      <w:r>
        <w:rPr>
          <w:rFonts w:ascii="Times New Roman" w:hAnsi="Times New Roman"/>
        </w:rPr>
        <w:t>5. Kritische IT-Abhängigkeiten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System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Anbieter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Vertragslaufzeit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 bei Change of Control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SAP S/4HANA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SAP 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2025-2029; kündbar mit 6 Monaten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Change-of-Control-Klausel: Zustimmung SAP erforderlich → Gespräch initiiert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CAD-Software CATIA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Dassault Systèmes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Perpetual-Lizenz 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Change-of-Control-Risiko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Cloud-Backup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Microsoft Azure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Monatlich kündbar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CRM (Salesforce)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Salesforce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2024-2026; Verlängerung ausstehend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Prolongation vor Closing gesichert</w:t>
            </w:r>
          </w:p>
        </w:tc>
      </w:tr>
    </w:tbl>
    <w:p>
      <w:pPr>
        <w:jc w:val="left"/>
      </w:pPr>
      <w:r>
        <w:rPr>
          <w:b/>
        </w:rPr>
        <w:t>Bearbeiter:</w:t>
      </w:r>
      <w:r>
        <w:t xml:space="preserve"> RA Dr. Steffen Brandner | SuP/2026-0041-CES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