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10 — Share Purchase Agreement: Klauselüberblick v3 / Offene Issues</w:t>
      </w:r>
    </w:p>
    <w:p>
      <w:pPr>
        <w:jc w:val="left"/>
      </w:pPr>
      <w:r>
        <w:rPr>
          <w:b/>
        </w:rPr>
        <w:t>Aktenzeichen:</w:t>
      </w:r>
      <w:r>
        <w:t xml:space="preserve"> SuP/2026-0041-CES</w:t>
      </w:r>
    </w:p>
    <w:p>
      <w:pPr>
        <w:jc w:val="left"/>
      </w:pPr>
      <w:r>
        <w:rPr>
          <w:b/>
        </w:rPr>
        <w:t>SPA-Entwurf v3:</w:t>
      </w:r>
      <w:r>
        <w:t xml:space="preserve"> Käuferseite (Wammeshübel Zwirnknäuel &amp; Sozien Frankfurt) — eingegangen 01.04.2026</w:t>
      </w:r>
    </w:p>
    <w:p>
      <w:pPr>
        <w:jc w:val="left"/>
      </w:pPr>
      <w:r>
        <w:rPr>
          <w:b/>
        </w:rPr>
        <w:t>Seller-Kommentare fällig:</w:t>
      </w:r>
      <w:r>
        <w:t xml:space="preserve"> 08.04.2026</w:t>
      </w:r>
    </w:p>
    <w:p/>
    <w:p>
      <w:pPr>
        <w:pStyle w:val="Heading2"/>
      </w:pPr>
      <w:r>
        <w:rPr>
          <w:rFonts w:ascii="Times New Roman" w:hAnsi="Times New Roman"/>
        </w:rPr>
        <w:t>1. SPA-Struktur Überblick (v3)</w:t>
      </w:r>
    </w:p>
    <w:p>
      <w:pPr>
        <w:jc w:val="left"/>
      </w:pPr>
      <w:r>
        <w:t xml:space="preserve">Der SPA-Entwurf v3 umfasst 30 Klauseln und Schedules 1-12. Vollständiger Entwurf: Anhang </w:t>
      </w:r>
      <w:r>
        <w:t>share-purchase-agreement-pellbach-entwurf-v4.docx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Klausel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1-3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Definitionen; Verkauf und Abtretung Anteile; Kaufpreis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4-5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Locked-Box; Leakage-Definitionen; Permitted Leakage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Vollzugsbedingungen (Conditions Precedent); BKartA-Freigabe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Signing/Closing; Notartermin; Vollzugshandlungen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8-9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Garantien des Verkäufers (Business, Tax, Compliance); Qualifikationen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Garantien des Käufers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MAC-Klausel (Material Adverse Change)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Earn-Out-Mechanismus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W&amp;I-Versicherung; Freistellung VDD-Berater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14-15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Indemnities (Pension, Umwelt, Polen-Sachverhalt, Befristungen)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Wettbewerbsverbot Reinhard (3 Jahre, Bundesgebiet; Ausnahme Nießbrauch-Grundstück)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17-18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Betriebsrat; § 613a BGB; Mitarbeiterkommunikation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Kartellrecht; Vollzugsverbot; Kooperation BKartA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Kosten; Steuern der Transaktion; Notarkosten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Streitbeilegung; DIS-Schiedsgerichtsbarkeit München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Anwendbares Recht (deutsches Recht)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23-25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Schlussbestimmungen; Vertraulichkeit; Bekanntmachungen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26-30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Schedules: Gesellschafterliste; Garantiekatalog; Offenlegungsliste; Earn-Out-Definition; Closing-Mechanismus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Offene Issues (Stand 01.04.2026)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Issue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Käufer-Position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Verkäufer-Position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O-01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Kaufpreismechanismus: Locked-Box vs. Completion Accounts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Completion Accounts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Locked-Box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O-02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MAC-Klausel China-Spezifika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Breite MAC-Definition; China-Sanktionen als eigenständiger MAC-Auslöser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Enge MAC-Definition; keine China-Spezifika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O-03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Pensionsindemnity Reinhard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Vollständige 1,5 Mio. EUR ohne Cap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Max. 1,0 Mio. EUR + Bürgschaft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O-04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Polen-Indemnity / Escrow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5-Jahre-Escrow 500 TEUR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3-Jahre-Escrow 300 TEUR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O-05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Umwelt-Indemnity Cap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Ohne Cap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Cap 1,5 Mio.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O-06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Earn-Out HGB vs. IFRS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IFRS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O-07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Betriebsrat-Standortgarantie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Keine SPA-Zusage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Keine SPA-Zusage; aber Side Letter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O-08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W&amp;I-Versicherung Tragung Prämie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Käufer trägt 100 %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50/50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O-09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Konkurrenzverbotsradius Annegret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Bundesgebiet + Österreich, 3 Jahre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Nur Passau-Region, 2 Jahre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O-10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Tokio Heavy topping-up right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Nicht akzeptiert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 (Reinhard schwankt)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Zeitplan bis Signing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08.04.2026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Seller-Kommentare zu SPA v3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14.-16.04.2026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Verhandlungsmarathon München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SPA v4 finalisiert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Notarielle Vorbeurkundung Dr. Birkenhainer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Exklusivität gegenüber Tokio Heavy endet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Signing (Zieldatum)</w:t>
            </w:r>
          </w:p>
        </w:tc>
      </w:tr>
    </w:tbl>
    <w:p>
      <w:pPr>
        <w:jc w:val="left"/>
      </w:pPr>
      <w:r>
        <w:rPr>
          <w:b/>
        </w:rPr>
        <w:t>Bearbeiterin:</w:t>
      </w:r>
      <w:r>
        <w:t xml:space="preserve"> RAin Dr. Cornelia Schwingenstein-Eichmüller | SuP/2026-0041-CES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