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MAC-Klausel: Sanktionsrisiko China-Tochter und Verhandlung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</w:t>
      </w:r>
    </w:p>
    <w:p>
      <w:pPr>
        <w:jc w:val="left"/>
      </w:pPr>
      <w:r>
        <w:rPr>
          <w:b/>
        </w:rPr>
        <w:t>Legal Opinion:</w:t>
      </w:r>
      <w:r>
        <w:t xml:space="preserve"> Prof. Dr. Markus Thiesen, Außenwirtschaftsrecht, Bucerius Law School Hamburg (10.03.2026)</w:t>
      </w:r>
    </w:p>
    <w:p/>
    <w:p>
      <w:pPr>
        <w:pStyle w:val="Heading2"/>
      </w:pPr>
      <w:r>
        <w:rPr>
          <w:rFonts w:ascii="Times New Roman" w:hAnsi="Times New Roman"/>
        </w:rPr>
        <w:t>1. MAC-Klausel — Grundstruktur (SPA v3, Klausel 11)</w:t>
      </w:r>
    </w:p>
    <w:p>
      <w:pPr>
        <w:pStyle w:val="Heading3"/>
      </w:pPr>
      <w:r>
        <w:rPr>
          <w:rFonts w:ascii="Times New Roman" w:hAnsi="Times New Roman"/>
        </w:rPr>
        <w:t>Käufer-Entwurf (Steinheim, Wammeshübel Zwirnknäuel &amp; Sozien)</w:t>
      </w:r>
    </w:p>
    <w:p>
      <w:pPr>
        <w:jc w:val="left"/>
      </w:pPr>
      <w:r>
        <w:t>„Material Adverse Change" ist definiert als jedes Ereignis, jede Umstandsveränderung oder Entwicklung, die — einzeln oder zusammen — eine wesentliche nachteilige Auswirkung auf die Geschäftstätigkeit, das Vermögen, die Ertragslage oder die Finanzlage der Pellbach-Gruppe hat, und zwar mit einem negativen Effekt von mindestens 5 Mio. EUR auf den Unternehmenswert.</w:t>
      </w:r>
    </w:p>
    <w:p>
      <w:pPr>
        <w:jc w:val="left"/>
      </w:pPr>
      <w:r>
        <w:rPr>
          <w:b/>
        </w:rPr>
        <w:t>China-Spezifika (Käufer):</w:t>
      </w:r>
      <w:r>
        <w:t xml:space="preserve"> Explizit als eigenständiger MAC-Auslöser genannt: jede Anordnung, Maßnahme oder Durchsetzungshandlung einer Behörde aufgrund der Verletzung von EU-Sanktionsrecht (insbesondere VO (EU) 833/2014 und VO (EU) Nr. 269/2014) in Bezug auf die Suzhou-Tochter oder deren Lieferanten oder Abnehmer, die den Betrieb der Suzhou-Einheit für mehr als 30 Tage unterbricht.</w:t>
      </w:r>
    </w:p>
    <w:p>
      <w:pPr>
        <w:pStyle w:val="Heading3"/>
      </w:pPr>
      <w:r>
        <w:rPr>
          <w:rFonts w:ascii="Times New Roman" w:hAnsi="Times New Roman"/>
        </w:rPr>
        <w:t>Verkäufer-Gegenposition (Schwingenstein und Partner)</w:t>
      </w:r>
    </w:p>
    <w:p>
      <w:pPr>
        <w:jc w:val="left"/>
      </w:pPr>
      <w:r>
        <w:t>MAC-Definition nur für allgemeine nachteilige Veränderungen der Pellbach-Gruppe als Ganzes; keine einzelnen, isoliert betrachteten Teilbereiche (Suzhou). China-Spezifika: allenfalls als Carve-out vom MAC-Begriff zu definieren (ähnlich Standard MAC-Ausnahmen für gesamtwirtschaftliche Entwicklungen, Branchenentwicklungen, Gesetzesänderungen).</w:t>
      </w:r>
    </w:p>
    <w:p/>
    <w:p>
      <w:pPr>
        <w:pStyle w:val="Heading2"/>
      </w:pPr>
      <w:r>
        <w:rPr>
          <w:rFonts w:ascii="Times New Roman" w:hAnsi="Times New Roman"/>
        </w:rPr>
        <w:t>2. Sachverhalt: Sanktionsrisiko Suzhou</w:t>
      </w:r>
    </w:p>
    <w:p>
      <w:pPr>
        <w:pStyle w:val="Heading3"/>
      </w:pPr>
      <w:r>
        <w:rPr>
          <w:rFonts w:ascii="Times New Roman" w:hAnsi="Times New Roman"/>
        </w:rPr>
        <w:t>Befund VDD</w:t>
      </w:r>
    </w:p>
    <w:p>
      <w:pPr>
        <w:jc w:val="left"/>
      </w:pPr>
      <w:r>
        <w:t>Pellbach Werkzeugbau (Suzhou) Co., Ltd. bezieht Rohmaterialien (Schnellarbeitsstahl, HSS-Stahl) von Kharkov Precision Parts LLC, einem in Russland ansässigen Lieferanten. Kharkov Precision Parts LLC ist seit 01.07.2024 in der EU-Sanktionsliste nach VO (EU) 833/2014 Annex IV gelistet (Doppelverwendungsgüter-Lieferant für die russische Rüstungsindustrie).</w:t>
      </w:r>
    </w:p>
    <w:p>
      <w:pPr>
        <w:jc w:val="left"/>
      </w:pPr>
      <w:r>
        <w:t>Auswirkung: Jede Zahlung an Kharkov Precision Parts LLC durch die Suzhou-WFOE könnte als verbotene Transaktion nach Art. 3a VO (EU) 833/2014 qualifiziert werden, auch wenn die Zahlung von China aus erfolgt — da die Muttergesellschaft EU-rechtlich der VO unterliegt (extraterritoriale Wirkung über Konzernhaftung).</w:t>
      </w:r>
    </w:p>
    <w:p>
      <w:pPr>
        <w:pStyle w:val="Heading3"/>
      </w:pPr>
      <w:r>
        <w:rPr>
          <w:rFonts w:ascii="Times New Roman" w:hAnsi="Times New Roman"/>
        </w:rPr>
        <w:t>Legal Opinion Prof. Dr. Thiesen (Hamburg, 10.03.2026)</w:t>
      </w:r>
    </w:p>
    <w:p>
      <w:pPr>
        <w:jc w:val="left"/>
      </w:pPr>
      <w:r>
        <w:t>Ergebnis: Hohes Risiko. Die Suzhou-Tochter unterliegt als Tochter eines EU-ansässigen Unternehmens jedenfalls mittelbar der VO (EU) 833/2014. Zahlungen an gelistete Personen sind untersagt (Art. 5e). Empfehlung: Sofortige Beendigung der Lieferbeziehung mit Kharkov Precision Parts LLC; Lieferanten-Substitution durch taiwanesische oder japanische Anbieter innerhalb von 90 Tagen. Behördliche Vorabanfrage bei der Deutschen Bundesbank (Außenwirtschaftsstelle) empfohlen.</w:t>
      </w:r>
    </w:p>
    <w:p/>
    <w:p>
      <w:pPr>
        <w:pStyle w:val="Heading2"/>
      </w:pPr>
      <w:r>
        <w:rPr>
          <w:rFonts w:ascii="Times New Roman" w:hAnsi="Times New Roman"/>
        </w:rPr>
        <w:t>3. Verhandlungsstand und Kompromissvorschlag</w:t>
      </w:r>
    </w:p>
    <w:p>
      <w:pPr>
        <w:jc w:val="left"/>
      </w:pPr>
      <w:r>
        <w:t>Schwingenstein und Partner schlägt folgenden Kompromiss vor:</w:t>
      </w:r>
    </w:p>
    <w:p>
      <w:pPr>
        <w:pStyle w:val="ListNumber"/>
      </w:pPr>
      <w:r>
        <w:t xml:space="preserve">China-Sanktions-MAC als </w:t>
      </w:r>
      <w:r>
        <w:rPr>
          <w:b/>
        </w:rPr>
        <w:t>Spezifischer MAC-Auslöser</w:t>
      </w:r>
      <w:r>
        <w:t xml:space="preserve"> mit erhöhter Schwelle (Schaden &gt;3 Mio. EUR statt allgemein &gt;5 Mio. EUR)</w:t>
      </w:r>
    </w:p>
    <w:p>
      <w:pPr>
        <w:pStyle w:val="ListNumber"/>
      </w:pPr>
      <w:r>
        <w:rPr>
          <w:b/>
        </w:rPr>
        <w:t>Pre-Closing-Covenant:</w:t>
      </w:r>
      <w:r>
        <w:t xml:space="preserve"> Pellbach beendet Lieferbeziehung mit Kharkov bis spätestens 31.03.2026 (bereits initiiert)</w:t>
      </w:r>
    </w:p>
    <w:p>
      <w:pPr>
        <w:pStyle w:val="ListNumber"/>
      </w:pPr>
      <w:r>
        <w:rPr>
          <w:b/>
        </w:rPr>
        <w:t>MAC-Heilungsmechanismus:</w:t>
      </w:r>
      <w:r>
        <w:t xml:space="preserve"> Wenn Lieferbeziehung bis Closing vollständig beendet und kein Behördenverfahren eingeleitet: MAC-Auslöser fällt weg</w:t>
      </w:r>
    </w:p>
    <w:p>
      <w:pPr>
        <w:pStyle w:val="ListNumber"/>
      </w:pPr>
      <w:r>
        <w:rPr>
          <w:b/>
        </w:rPr>
        <w:t>Indemnity als Alternative:</w:t>
      </w:r>
      <w:r>
        <w:t xml:space="preserve"> Falls MAC-Ereignis eingetreten vor Closing: Kaufpreisminderung bis max. 4 Mio. EUR statt Rücktrittsrecht Käufer</w:t>
      </w:r>
    </w:p>
    <w:p>
      <w:pPr>
        <w:jc w:val="left"/>
      </w:pPr>
      <w:r>
        <w:t>Steinheim Capital Partners: Akzeptiert Heilungsmechanismus grundsätzlich; verhandelt noch über Schwellenwert und Indemnity-Cap.</w:t>
      </w:r>
    </w:p>
    <w:p/>
    <w:p>
      <w:pPr>
        <w:pStyle w:val="Heading2"/>
      </w:pPr>
      <w:r>
        <w:rPr>
          <w:rFonts w:ascii="Times New Roman" w:hAnsi="Times New Roman"/>
        </w:rPr>
        <w:t>4. Ergebnis und Handlungsbedarf</w:t>
      </w:r>
    </w:p>
    <w:p>
      <w:pPr>
        <w:pStyle w:val="ListBullet"/>
      </w:pPr>
      <w:r>
        <w:t>[ ] Lieferantensubstitution Kharkov: Angebot Taiwan Alloy Steel (Taipei) liegt vor; Preisaufschlag ca. 8 % — akzeptabel</w:t>
      </w:r>
    </w:p>
    <w:p>
      <w:pPr>
        <w:pStyle w:val="ListBullet"/>
      </w:pPr>
      <w:r>
        <w:t>[ ] Vorabanfrage Deutsche Bundesbank: eingereicht 15.03.2026; Antwort ausstehend</w:t>
      </w:r>
    </w:p>
    <w:p>
      <w:pPr>
        <w:pStyle w:val="ListBullet"/>
      </w:pPr>
      <w:r>
        <w:t>[ ] SPA v4: MAC-Definition anpassen; Heilungsmechanismus einarbeiten</w:t>
      </w:r>
    </w:p>
    <w:p>
      <w:pPr>
        <w:pStyle w:val="ListBullet"/>
      </w:pPr>
      <w:r>
        <w:t>[ ] BaFin (keine Erlaubnispflicht KWG): Vorabbescheid liegt vor (E-Mail vom 05.03.2026)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