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12 — Earn-Out-Mechanismus: EBITDA-Hurdle 2028, Modalitäten und Streitpunkte</w:t>
      </w:r>
    </w:p>
    <w:p>
      <w:pPr>
        <w:jc w:val="left"/>
      </w:pPr>
      <w:r>
        <w:rPr>
          <w:b/>
        </w:rPr>
        <w:t>Aktenzeichen:</w:t>
      </w:r>
      <w:r>
        <w:t xml:space="preserve"> SuP/2026-0041-CES</w:t>
      </w:r>
    </w:p>
    <w:p>
      <w:pPr>
        <w:jc w:val="left"/>
      </w:pPr>
      <w:r>
        <w:rPr>
          <w:b/>
        </w:rPr>
        <w:t>Bearbeiterin:</w:t>
      </w:r>
      <w:r>
        <w:t xml:space="preserve"> RAin Dr. Cornelia Schwingenstein-Eichmüller</w:t>
      </w:r>
    </w:p>
    <w:p>
      <w:pPr>
        <w:jc w:val="left"/>
      </w:pPr>
      <w:r>
        <w:rPr>
          <w:b/>
        </w:rPr>
        <w:t>Datum:</w:t>
      </w:r>
      <w:r>
        <w:t xml:space="preserve"> 05. April 2026</w:t>
      </w:r>
    </w:p>
    <w:p/>
    <w:p>
      <w:pPr>
        <w:pStyle w:val="Heading2"/>
      </w:pPr>
      <w:r>
        <w:rPr>
          <w:rFonts w:ascii="Times New Roman" w:hAnsi="Times New Roman"/>
        </w:rPr>
        <w:t>1. Earn-Out-Überblick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Parameter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Max. Earn-Out-Betrag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10,0 Mio.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Referenzkennzahl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Bereinigtes Gruppen-EBITDA GJ 2028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EBITDA-Hurdle (100 %-Erreichung)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18,0 Mio.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EBITDA-Threshold (0 %-Erreichung)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16,5 Mio.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Pro-Rata-Berechnung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Linear zwischen Threshold und Hurdle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Mindest-Earn-Out (Reinhard-Forderung)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3,0 Mio. EUR unabhängig von EBITDA (strittig)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Zahlungszeitpunkt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 September 2029 (nach Erstellung und Feststellung GJ-2028-Abschluss)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Streitbeilegung bei EBITDA-Streit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Unabhängiger Wirtschaftsprüfer (Schiedsverfahren nach IDW-Grundsätzen)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EBITDA-Berechnungsgrundlage — Streitpunkt HGB vs. IFRS</w:t>
      </w:r>
    </w:p>
    <w:p>
      <w:pPr>
        <w:pStyle w:val="Heading3"/>
      </w:pPr>
      <w:r>
        <w:rPr>
          <w:rFonts w:ascii="Times New Roman" w:hAnsi="Times New Roman"/>
        </w:rPr>
        <w:t>Käufer-Position (Steinheim Capital Partners)</w:t>
      </w:r>
    </w:p>
    <w:p>
      <w:pPr>
        <w:jc w:val="left"/>
      </w:pPr>
      <w:r>
        <w:t xml:space="preserve">Steinheim besteht auf </w:t>
      </w:r>
      <w:r>
        <w:rPr>
          <w:b/>
        </w:rPr>
        <w:t>IFRS</w:t>
      </w:r>
      <w:r>
        <w:t>-Grundlage für die Earn-Out-EBITDA-Berechnung:</w:t>
      </w:r>
    </w:p>
    <w:p>
      <w:pPr>
        <w:pStyle w:val="ListBullet"/>
      </w:pPr>
      <w:r>
        <w:t>Begründung: Steinheim-Portfolio wird konzernweit nach IFRS berichtet; Vergleichbarkeit und Management-Reporting; EBITDA nach IFRS bereinigt um IFRS 16-Effekte (Leasingverpflichtungen), aktivierte Entwicklungskosten</w:t>
      </w:r>
    </w:p>
    <w:p>
      <w:pPr>
        <w:pStyle w:val="ListBullet"/>
      </w:pPr>
      <w:r>
        <w:t>EBITDA-Anpassungseffekte IFRS vs. HGB (geschätzt): +0,8 bis +1,2 Mio. EUR zugunsten IFRS-EBITDA (durch IFRS-16-Leasing-Add-back)</w:t>
      </w:r>
    </w:p>
    <w:p>
      <w:pPr>
        <w:pStyle w:val="Heading3"/>
      </w:pPr>
      <w:r>
        <w:rPr>
          <w:rFonts w:ascii="Times New Roman" w:hAnsi="Times New Roman"/>
        </w:rPr>
        <w:t>Verkäufer-Position (Reinhard / Schwingenstein und Partner)</w:t>
      </w:r>
    </w:p>
    <w:p>
      <w:pPr>
        <w:jc w:val="left"/>
      </w:pPr>
      <w:r>
        <w:t xml:space="preserve">Reinhard besteht auf </w:t>
      </w:r>
      <w:r>
        <w:rPr>
          <w:b/>
        </w:rPr>
        <w:t>HGB</w:t>
      </w:r>
      <w:r>
        <w:t>-Grundlage:</w:t>
      </w:r>
    </w:p>
    <w:p>
      <w:pPr>
        <w:pStyle w:val="ListBullet"/>
      </w:pPr>
      <w:r>
        <w:t>Begründung: Pellbach war und ist HGB-Bilanzierer; IFRS-Umstellung verursacht Einmalaufwand ca. 200 TEUR; IFRS-EBITDA schwieriger nachzuvollziehen für Kontrolle durch Reinhard; Gefahr der Manipulation durch IFRS-16-Gestaltungen</w:t>
      </w:r>
    </w:p>
    <w:p>
      <w:pPr>
        <w:pStyle w:val="ListBullet"/>
      </w:pPr>
      <w:r>
        <w:t>Gegenforderung: Falls IFRS, dann Bereinigung um alle IFRS-First-Time-Adoption-Effekte</w:t>
      </w:r>
    </w:p>
    <w:p>
      <w:pPr>
        <w:pStyle w:val="Heading3"/>
      </w:pPr>
      <w:r>
        <w:rPr>
          <w:rFonts w:ascii="Times New Roman" w:hAnsi="Times New Roman"/>
        </w:rPr>
        <w:t>Kompromissvorschlag</w:t>
      </w:r>
    </w:p>
    <w:p>
      <w:pPr>
        <w:jc w:val="left"/>
      </w:pPr>
      <w:r>
        <w:t>HGB als Basis; zusätzlich definierter Bereinigungskatalog mit 12 explizit geregelten Add-back-Positionen (außerordentliche Kosten, Transaktionskosten, einmalige Restrukturierungen, Earn-Out-Bonuszahlungen selbst, etc.). Anti-Stripping-Klausel: EBITDA-mindernde Maßnahmen des Käufers, die primär darauf abzielen, den Earn-Out zu verhindern (z.B. Verlagerung profitabler Bereiche aus Pellbach heraus), berechtigen Reinhard zu Schadensersatz.</w:t>
      </w:r>
    </w:p>
    <w:p/>
    <w:p>
      <w:pPr>
        <w:pStyle w:val="Heading2"/>
      </w:pPr>
      <w:r>
        <w:rPr>
          <w:rFonts w:ascii="Times New Roman" w:hAnsi="Times New Roman"/>
        </w:rPr>
        <w:t>3. Anti-Manipulation-Klauseln (Stripping-Verbot)</w:t>
      </w:r>
    </w:p>
    <w:p>
      <w:pPr>
        <w:jc w:val="left"/>
      </w:pPr>
      <w:r>
        <w:t>§ [X] SPA v4: Käufer verpflichtet sich, die Pellbach-Gruppe nach Closing im Wesentlichen in ihrer bisherigen Geschäftstätigkeit fortzuführen und keine Maßnahmen vorzunehmen, die vorrangig darauf abzielen, das Earn-Out-EBITDA zu reduzieren. Insbesondere verboten:</w:t>
      </w:r>
    </w:p>
    <w:p>
      <w:pPr>
        <w:pStyle w:val="ListBullet"/>
      </w:pPr>
      <w:r>
        <w:t>Verlagerung von Umsätzen auf andere Steinheim-Portfolio-Gesellschaften zu nicht marktüblichen Bedingungen</w:t>
      </w:r>
    </w:p>
    <w:p>
      <w:pPr>
        <w:pStyle w:val="ListBullet"/>
      </w:pPr>
      <w:r>
        <w:t>Übertragung oder Lizensierung profitabler IP ohne Marktpreiskompensation an Steinheim-verbundene Gesellschaften</w:t>
      </w:r>
    </w:p>
    <w:p>
      <w:pPr>
        <w:pStyle w:val="ListBullet"/>
      </w:pPr>
      <w:r>
        <w:t>Einstellung des China-Geschäfts vor 2028, soweit nicht zwingend aus Sanktionsrecht</w:t>
      </w:r>
    </w:p>
    <w:p/>
    <w:p>
      <w:pPr>
        <w:pStyle w:val="Heading2"/>
      </w:pPr>
      <w:r>
        <w:rPr>
          <w:rFonts w:ascii="Times New Roman" w:hAnsi="Times New Roman"/>
        </w:rPr>
        <w:t>4. Mindest-Earn-Out-Forderung Reinhard</w:t>
      </w:r>
    </w:p>
    <w:p>
      <w:pPr>
        <w:jc w:val="left"/>
      </w:pPr>
      <w:r>
        <w:t>Reinhard Pellbach-Wittfeldt fordert einen Mindest-Earn-Out von 3,0 Mio. EUR, der unabhängig vom EBITDA-Erreichungsgrad zu zahlen ist, als Teil seiner Altersvorsorge-Absicherung. Steinheim lehnt dies ab (fixer Kaufpreisbestandteil, der die Transaktionsstruktur verfälscht). Kompromiss in Diskussion: Escrow von 3,0 Mio. EUR zugunsten Reinhard, der bei EBITDA-Threshold-Verfehlung (&lt;16,5 Mio. EUR) an Käufer zurückfällt, andernfalls an Reinhard ausgezahlt wird.</w:t>
      </w:r>
    </w:p>
    <w:p/>
    <w:p>
      <w:pPr>
        <w:pStyle w:val="Heading2"/>
      </w:pPr>
      <w:r>
        <w:rPr>
          <w:rFonts w:ascii="Times New Roman" w:hAnsi="Times New Roman"/>
        </w:rPr>
        <w:t>5. Streitbeilegung</w:t>
      </w:r>
    </w:p>
    <w:p>
      <w:pPr>
        <w:jc w:val="left"/>
      </w:pPr>
      <w:r>
        <w:t>Falls Parteien innerhalb von 30 Tagen keine Einigung über das festgestellte Earn-Out-EBITDA erzielen, bestimmt jede Partei einen WP; diese benennen einen dritten WP (aus Liste IDW-akkreditierter Sachverständiger). Dessen Entscheidung ist endgültig und für beide Parteien bindend. Kosten des Verfahrens trägt die unterlegene Partei; bei Teilerfolg anteilig.</w:t>
      </w:r>
    </w:p>
    <w:p>
      <w:pPr>
        <w:jc w:val="left"/>
      </w:pPr>
      <w:r>
        <w:rPr>
          <w:b/>
        </w:rPr>
        <w:t>Bearbeiterin:</w:t>
      </w:r>
      <w:r>
        <w:t xml:space="preserve"> RAin Dr. Cornelia Schwingenstein-Eichmüller | SuP/2026-0041-CES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