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Gesellschafterbeschluss: Zustimmung zur Anteilsübertragung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Gesellschaft:</w:t>
      </w:r>
      <w:r>
        <w:t xml:space="preserve"> Pellbach Verwaltungs-GmbH, HRB 9104 Passau</w:t>
      </w:r>
    </w:p>
    <w:p>
      <w:pPr>
        <w:jc w:val="left"/>
      </w:pPr>
      <w:r>
        <w:rPr>
          <w:b/>
        </w:rPr>
        <w:t>Beschlussdatum:</w:t>
      </w:r>
      <w:r>
        <w:t xml:space="preserve"> geplant 12. Mai 2026 (Vorbeurkundung 28.04.2026)</w:t>
      </w:r>
    </w:p>
    <w:p>
      <w:pPr>
        <w:jc w:val="left"/>
      </w:pPr>
      <w:r>
        <w:rPr>
          <w:b/>
        </w:rPr>
        <w:t>Notar:</w:t>
      </w:r>
      <w:r>
        <w:t xml:space="preserve"> Dr. Friedrich Birkenhainer, Passau, UR-Nr. 188/26</w:t>
      </w:r>
    </w:p>
    <w:p/>
    <w:p>
      <w:pPr>
        <w:pStyle w:val="Heading2"/>
      </w:pPr>
      <w:r>
        <w:rPr>
          <w:rFonts w:ascii="Times New Roman" w:hAnsi="Times New Roman"/>
        </w:rPr>
        <w:t>1. Rechtliche Grundlage</w:t>
      </w:r>
    </w:p>
    <w:p>
      <w:pPr>
        <w:jc w:val="left"/>
      </w:pPr>
      <w:r>
        <w:t>Die Pellbach Verwaltungs-GmbH ist Komplementärin der Pellbach Werkzeugbau GmbH &amp; Co. KG. Gemäß § 9 Abs. 2 des Gesellschaftsvertrags der KG bedarf die Übertragung von Kommanditanteilen der Zustimmung des Komplementärs.</w:t>
      </w:r>
    </w:p>
    <w:p>
      <w:pPr>
        <w:jc w:val="left"/>
      </w:pPr>
      <w:r>
        <w:t>Die Zustimmungsentscheidung der Komplementär-GmbH erfordert einen Gesellschafterbeschluss nach §§ 47, 51 GmbHG. Einberufung der Gesellschafterversammlung gemäß § 51 Abs. 1 GmbHG mindestens eine Woche vorab durch eingeschriebenen Brief.</w:t>
      </w:r>
    </w:p>
    <w:p>
      <w:pPr>
        <w:jc w:val="left"/>
      </w:pPr>
      <w:r>
        <w:t>Zusätzlich bedarf die Änderung des Kommanditistenkreises der Eintragung im Handelsregister (§ 162 Abs. 1 HGB); Anmeldung durch alle persönlich haftenden Gesellschafter und den neuen Kommanditisten.</w:t>
      </w:r>
    </w:p>
    <w:p/>
    <w:p>
      <w:pPr>
        <w:pStyle w:val="Heading2"/>
      </w:pPr>
      <w:r>
        <w:rPr>
          <w:rFonts w:ascii="Times New Roman" w:hAnsi="Times New Roman"/>
        </w:rPr>
        <w:t>2. Gesellschafterstruktur Pellbach Verwaltungs-GmbH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Stimmrecht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Reinhard Pellbach-Wittfeldt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68 %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68 Stimmen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Annegret Pellbach-Roosendaal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32 %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32 Stimmen</w:t>
            </w:r>
          </w:p>
        </w:tc>
      </w:tr>
    </w:tbl>
    <w:p>
      <w:pPr>
        <w:jc w:val="left"/>
      </w:pPr>
      <w:r>
        <w:t>Quorum: §§ 47, 53 GmbHG; einfache Mehrheit (&gt; 50 %) für Zustimmung zur Anteilsübertragung (kein Sonderquorum im GV vorgesehen). Reinhard kann alleine beschließen.</w:t>
      </w:r>
    </w:p>
    <w:p/>
    <w:p>
      <w:pPr>
        <w:pStyle w:val="Heading2"/>
      </w:pPr>
      <w:r>
        <w:rPr>
          <w:rFonts w:ascii="Times New Roman" w:hAnsi="Times New Roman"/>
        </w:rPr>
        <w:t>3. Problemfeld: Annegret Pellbach-Roosendaal</w:t>
      </w:r>
    </w:p>
    <w:p>
      <w:pPr>
        <w:jc w:val="left"/>
      </w:pPr>
      <w:r>
        <w:t xml:space="preserve">Annegret hat angekündigt, in der Gesellschafterversammlung </w:t>
      </w:r>
      <w:r>
        <w:rPr>
          <w:b/>
        </w:rPr>
        <w:t>gegen</w:t>
      </w:r>
      <w:r>
        <w:t xml:space="preserve"> den Beschluss zu stimmen, solange die Herauslösung des Geschäftsbereichs Präzisionsdrehteile (Rinner Präzisionsdrehteile GmbH) nicht verbindlich in einem Carve-Out-Vertrag geregelt ist.</w:t>
      </w:r>
    </w:p>
    <w:p>
      <w:pPr>
        <w:jc w:val="left"/>
      </w:pPr>
      <w:r>
        <w:t xml:space="preserve">Da Reinhard mit 68 % die einfache Mehrheit alleine hat, ist ein ablehnender Beschluss Annegrets für das Quorum nicht erforderlich. Annegret droht jedoch mit einer </w:t>
      </w:r>
      <w:r>
        <w:rPr>
          <w:b/>
        </w:rPr>
        <w:t>Anfechtungsklage</w:t>
      </w:r>
      <w:r>
        <w:t xml:space="preserve"> gegen den Beschluss (§ 246 AktG analog i.V.m. BGH-Rspr. zur GmbH-Beschlussanfechtung) mit dem Argument, dass der Beschluss treuwidrig sei (§ 242 BGB), weil ihr Minderheitsinteresse am Erhalt des Rinner-Bereichs nicht berücksichtigt werde.</w:t>
      </w:r>
    </w:p>
    <w:p>
      <w:pPr>
        <w:jc w:val="left"/>
      </w:pPr>
      <w:r>
        <w:rPr>
          <w:b/>
        </w:rPr>
        <w:t>Rechtliche Einschätzung:</w:t>
      </w:r>
      <w:r>
        <w:t xml:space="preserve"> Eine Anfechtungsklage hätte geringe Erfolgsaussichten, da Reinhard als Mehrheitsgesellschafter grundsätzlich frei über Anteilsveräußerung verfügen kann (Gesellschaftsautonomie); kein Schikaneverbot verletzt. Jedoch: Klageandrohung kann das Timing verzögern. Empfehlung: Carve-Out-Grundsatzeinigung mit Annegret vor Beschluss, um Klagehrisiko auszuschalten.</w:t>
      </w:r>
    </w:p>
    <w:p/>
    <w:p>
      <w:pPr>
        <w:pStyle w:val="Heading2"/>
      </w:pPr>
      <w:r>
        <w:rPr>
          <w:rFonts w:ascii="Times New Roman" w:hAnsi="Times New Roman"/>
        </w:rPr>
        <w:t>4. Carve-Out Rinner Präzisionsdrehteile GmbH</w:t>
      </w:r>
    </w:p>
    <w:p>
      <w:pPr>
        <w:jc w:val="left"/>
      </w:pPr>
      <w:r>
        <w:t>Parallel zur KG-Übertragung sollen die Anteile der Rinner Präzisionsdrehteile GmbH (100-prozentige Tochter der KG) an eine von Annegret gehaltene Gesellschaft (Roosendaal Präzision GmbH, neu zu gründen) übertragen werden. Kaufpreis: 4,2 Mio. EUR (Wert gemäß Gutachten Valuaris). Kaufpreisminderung im SPA korrespondierend. Notartermin Carve-Out: ebenfalls Dr. Birkenhainer, UR-Nr. 189/26.</w:t>
      </w:r>
    </w:p>
    <w:p/>
    <w:p>
      <w:pPr>
        <w:pStyle w:val="Heading2"/>
      </w:pPr>
      <w:r>
        <w:rPr>
          <w:rFonts w:ascii="Times New Roman" w:hAnsi="Times New Roman"/>
        </w:rPr>
        <w:t>5. GmbHG-Referenzen</w:t>
      </w:r>
    </w:p>
    <w:p>
      <w:pPr>
        <w:pStyle w:val="ListBullet"/>
      </w:pPr>
      <w:r>
        <w:rPr>
          <w:b/>
        </w:rPr>
        <w:t>§ 51 GmbHG</w:t>
      </w:r>
      <w:r>
        <w:t xml:space="preserve"> (Einberufung): Einladung an alle Gesellschafter min. 1 Woche vor Termin; Form: eingeschriebener Brief oder E-Mail mit qualifizierter elektronischer Signatur (nach GV-Öffnungsklausel gestattet)</w:t>
      </w:r>
    </w:p>
    <w:p>
      <w:pPr>
        <w:pStyle w:val="ListBullet"/>
      </w:pPr>
      <w:r>
        <w:rPr>
          <w:b/>
        </w:rPr>
        <w:t>§ 53 GmbHG</w:t>
      </w:r>
      <w:r>
        <w:t xml:space="preserve"> (Satzungsänderung): Nur bei Satzungsänderungen 75 %-Mehrheit erforderlich — hier nicht einschlägig</w:t>
      </w:r>
    </w:p>
    <w:p>
      <w:pPr>
        <w:pStyle w:val="ListBullet"/>
      </w:pPr>
      <w:r>
        <w:rPr>
          <w:b/>
        </w:rPr>
        <w:t>§ 55 GmbHG</w:t>
      </w:r>
      <w:r>
        <w:t xml:space="preserve"> (Kapitalerhöhung): Nicht einschlägig</w:t>
      </w:r>
    </w:p>
    <w:p>
      <w:pPr>
        <w:pStyle w:val="ListBullet"/>
      </w:pPr>
      <w:r>
        <w:rPr>
          <w:b/>
        </w:rPr>
        <w:t>§ 47 GmbHG</w:t>
      </w:r>
      <w:r>
        <w:t xml:space="preserve"> (Abstimmung): Einfache Mehrheit der abgegebenen Stimmen; Reinhard stimmt als Gesellschafter ab, nicht als GF (kein Stimmverbot nach § 47 Abs. 4 GmbHG, da kein In-sich-Geschäft)</w:t>
      </w:r>
    </w:p>
    <w:p>
      <w:pPr>
        <w:jc w:val="left"/>
      </w:pPr>
      <w:r>
        <w:rPr>
          <w:b/>
        </w:rPr>
        <w:t>Bearbeiterin:</w:t>
      </w:r>
      <w:r>
        <w:t xml:space="preserve"> RAin Dr. Cornelia Schwingenstein-Eichmüller | SuP/2026-0041-CES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