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Kartellrechtliche Anmeldung: BKartA Az. B 6-188/26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Kartellrechtsteam:</w:t>
      </w:r>
      <w:r>
        <w:t xml:space="preserve"> RA Dr. Tobias Stenzl, Schwingenstein und Partner Berlin</w:t>
      </w:r>
    </w:p>
    <w:p>
      <w:pPr>
        <w:jc w:val="left"/>
      </w:pPr>
      <w:r>
        <w:rPr>
          <w:b/>
        </w:rPr>
        <w:t>Eingangsdatum BKartA:</w:t>
      </w:r>
      <w:r>
        <w:t xml:space="preserve"> 02. März 2026</w:t>
      </w:r>
    </w:p>
    <w:p>
      <w:pPr>
        <w:jc w:val="left"/>
      </w:pPr>
      <w:r>
        <w:rPr>
          <w:b/>
        </w:rPr>
        <w:t>BKartA-Az.:</w:t>
      </w:r>
      <w:r>
        <w:t xml:space="preserve"> B 6-188/26</w:t>
      </w:r>
    </w:p>
    <w:p>
      <w:pPr>
        <w:jc w:val="left"/>
      </w:pPr>
      <w:r>
        <w:rPr>
          <w:b/>
        </w:rPr>
        <w:t>Zuständige Beschlussabteilung:</w:t>
      </w:r>
      <w:r>
        <w:t xml:space="preserve"> Abteilung B 6 (Maschinenbau, Industriegüter)</w:t>
      </w:r>
    </w:p>
    <w:p/>
    <w:p>
      <w:pPr>
        <w:pStyle w:val="Heading2"/>
      </w:pPr>
      <w:r>
        <w:rPr>
          <w:rFonts w:ascii="Times New Roman" w:hAnsi="Times New Roman"/>
        </w:rPr>
        <w:t>1. Anmeldepflicht nach GWB</w:t>
      </w:r>
    </w:p>
    <w:p>
      <w:pPr>
        <w:pStyle w:val="Heading3"/>
      </w:pPr>
      <w:r>
        <w:rPr>
          <w:rFonts w:ascii="Times New Roman" w:hAnsi="Times New Roman"/>
        </w:rPr>
        <w:t>Aufgreifkriterien (§ 35 GWB)</w:t>
      </w:r>
    </w:p>
    <w:p>
      <w:pPr>
        <w:jc w:val="left"/>
      </w:pPr>
      <w:r>
        <w:t>Gemäß § 35 Abs. 1 GWB ist ein Zusammenschluss beim Bundeskartellamt anzumelden, wenn:</w:t>
      </w:r>
    </w:p>
    <w:p>
      <w:pPr>
        <w:pStyle w:val="ListNumber"/>
      </w:pPr>
      <w:r>
        <w:t>Die beteiligten Unternehmen zusammen weltweit mehr als 500 Mio. EUR Umsatz erzielten, und</w:t>
      </w:r>
    </w:p>
    <w:p>
      <w:pPr>
        <w:pStyle w:val="ListNumber"/>
      </w:pPr>
      <w:r>
        <w:t>Mindestens ein Unternehmen im Inland mehr als 25 Mio. EUR Umsatz erzielte, und</w:t>
      </w:r>
    </w:p>
    <w:p>
      <w:pPr>
        <w:pStyle w:val="ListNumber"/>
      </w:pPr>
      <w:r>
        <w:t>Ein weiteres beteiligtes Unternehmen im Inland mehr als 5 Mio. EUR Umsatz erzielte.</w:t>
      </w:r>
    </w:p>
    <w:p>
      <w:pPr>
        <w:jc w:val="left"/>
      </w:pPr>
      <w:r>
        <w:rPr>
          <w:b/>
        </w:rPr>
        <w:t>Prüfung im Fall Pellbach/Steinheim:</w:t>
      </w:r>
    </w:p>
    <w:p>
      <w:pPr>
        <w:pStyle w:val="ListBullet"/>
      </w:pPr>
      <w:r>
        <w:t>Steinheim Capital Partners Fund IV: Portfolioumsatz konsolidiert 2024: ca. 1,8 Mrd. EUR (weltweite Umsätze aller Portfoliogesellschaften)</w:t>
      </w:r>
    </w:p>
    <w:p>
      <w:pPr>
        <w:pStyle w:val="ListBullet"/>
      </w:pPr>
      <w:r>
        <w:t>Pellbach Werkzeugbau GmbH &amp; Co. KG: Inlandsumsatz 2024: ca. 52 Mio. EUR</w:t>
      </w:r>
    </w:p>
    <w:p>
      <w:pPr>
        <w:pStyle w:val="ListBullet"/>
      </w:pPr>
      <w:r>
        <w:t>Steinheim Deutschland: Inlandsumsatz (Portfolio): ca. 880 Mio. EUR</w:t>
      </w:r>
    </w:p>
    <w:p>
      <w:pPr>
        <w:pStyle w:val="ListBullet"/>
      </w:pPr>
      <w:r>
        <w:rPr>
          <w:b/>
        </w:rPr>
        <w:t>Ergebnis: Alle Aufgreifkriterien erfüllt; Anmeldepflicht besteht.</w:t>
      </w:r>
    </w:p>
    <w:p>
      <w:pPr>
        <w:pStyle w:val="Heading3"/>
      </w:pPr>
      <w:r>
        <w:rPr>
          <w:rFonts w:ascii="Times New Roman" w:hAnsi="Times New Roman"/>
        </w:rPr>
        <w:t>Vollzugsverbot (§ 41 GWB)</w:t>
      </w:r>
    </w:p>
    <w:p>
      <w:pPr>
        <w:jc w:val="left"/>
      </w:pPr>
      <w:r>
        <w:t>Gemäß § 41 GWB darf der Zusammenschluss nicht vollzogen werden, bevor das Bundeskartellamt ihn freigegeben hat oder die Entscheidungsfrist abgelaufen ist. Signing ohne Closing grundsätzlich möglich; Closing erst nach Freigabe.</w:t>
      </w:r>
    </w:p>
    <w:p/>
    <w:p>
      <w:pPr>
        <w:pStyle w:val="Heading2"/>
      </w:pPr>
      <w:r>
        <w:rPr>
          <w:rFonts w:ascii="Times New Roman" w:hAnsi="Times New Roman"/>
        </w:rPr>
        <w:t>2. Marktdefinition und Marktanteile</w:t>
      </w:r>
    </w:p>
    <w:p>
      <w:pPr>
        <w:pStyle w:val="Heading3"/>
      </w:pPr>
      <w:r>
        <w:rPr>
          <w:rFonts w:ascii="Times New Roman" w:hAnsi="Times New Roman"/>
        </w:rPr>
        <w:t>Sachlich relevanter Markt</w:t>
      </w:r>
    </w:p>
    <w:p>
      <w:pPr>
        <w:jc w:val="left"/>
      </w:pPr>
      <w:r>
        <w:t>BKartA Beschlussabteilung B 6 prüft: Markt für Industriewerkzeuge (HSS-Fräser, Bohrer, Reibahlen) und Präzisionswerkzeuge für Automobilindustrie und allgemeinen Maschinenbau in Deutschland/Süddeutschland.</w:t>
      </w:r>
    </w:p>
    <w:p>
      <w:pPr>
        <w:jc w:val="left"/>
      </w:pPr>
      <w:r>
        <w:rPr>
          <w:b/>
        </w:rPr>
        <w:t>Pellbach-Marktanteil:</w:t>
      </w:r>
      <w:r>
        <w:t xml:space="preserve"> Ca. 28 % im Markt Industriewerkzeug Bayern/Baden-Württemberg (nach eigener Schätzung; Quelle: VDW-Marktbericht 2024).</w:t>
      </w:r>
    </w:p>
    <w:p>
      <w:pPr>
        <w:pStyle w:val="Heading3"/>
      </w:pPr>
      <w:r>
        <w:rPr>
          <w:rFonts w:ascii="Times New Roman" w:hAnsi="Times New Roman"/>
        </w:rPr>
        <w:t>Wettbewerber</w:t>
      </w:r>
    </w:p>
    <w:p>
      <w:pPr>
        <w:jc w:val="left"/>
      </w:pPr>
      <w:r>
        <w:t>Hoffmann SE (Marktführer Deutschland, ca. 35 %), Würth (ca. 15 %), Kemmer Präzision (ca. 6 %), zahlreiche kleinere Anbieter.</w:t>
      </w:r>
    </w:p>
    <w:p/>
    <w:p>
      <w:pPr>
        <w:pStyle w:val="Heading2"/>
      </w:pPr>
      <w:r>
        <w:rPr>
          <w:rFonts w:ascii="Times New Roman" w:hAnsi="Times New Roman"/>
        </w:rPr>
        <w:t>3. Verfahrensstand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Anmeldeformular A eingereicht; vollständige Anmeldung gem. § 39 GWB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BKartA bestätigt Vollständigkeit; Phase-I-Frist beginnt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Ende Phase-I-Frist (§ 40 Abs. 1 GWB: 1 Monat ab vollständiger Anmeldung)</w:t>
            </w:r>
          </w:p>
        </w:tc>
      </w:tr>
    </w:tbl>
    <w:p>
      <w:pPr>
        <w:jc w:val="left"/>
      </w:pPr>
      <w:r>
        <w:rPr>
          <w:b/>
        </w:rPr>
        <w:t>Stand 01.04.2026:</w:t>
      </w:r>
      <w:r>
        <w:t xml:space="preserve"> BKartA hat informell signalisiert, dass Auflagen-Szenario nicht ausgeschlossen ist. Beschlussabteilung prüft, ob Marktanteil Pellbach im Automotive-Segment (Niederbayern) durch Kombination mit Steinheim-Portfolio-Gesellschaft Bavarian Tool &amp; Die (ebenfalls ca. 12 % Marktanteil in Automotive Werkzeug) kritische Schwelle überschreitet.</w:t>
      </w:r>
    </w:p>
    <w:p>
      <w:pPr>
        <w:jc w:val="left"/>
      </w:pPr>
      <w:r>
        <w:rPr>
          <w:b/>
        </w:rPr>
        <w:t>Auflagen-Szenario:</w:t>
      </w:r>
      <w:r>
        <w:t xml:space="preserve"> Mögliche Auflage: Veräußerung des Deggendorf-Werks (Rinner Bereich) oder Lizenzierungsverpflichtung zugunsten Wettbewerber. Rinner-Bereich wird ohnehin ausgegliedert (Annegret) — könnte als Remedy angeboten werden.</w:t>
      </w:r>
    </w:p>
    <w:p/>
    <w:p>
      <w:pPr>
        <w:pStyle w:val="Heading2"/>
      </w:pPr>
      <w:r>
        <w:rPr>
          <w:rFonts w:ascii="Times New Roman" w:hAnsi="Times New Roman"/>
        </w:rPr>
        <w:t>4. Strategie BKartA</w:t>
      </w:r>
    </w:p>
    <w:p>
      <w:pPr>
        <w:pStyle w:val="ListBullet"/>
      </w:pPr>
      <w:r>
        <w:t>Proaktiver Informationsaustausch mit Beschlussabteilung B 6 (informelle Kontakte Stenzl/BKartA)</w:t>
      </w:r>
    </w:p>
    <w:p>
      <w:pPr>
        <w:pStyle w:val="ListBullet"/>
      </w:pPr>
      <w:r>
        <w:t>Remedy-Angebot (strukturelle Maßnahme): Herauslösung Rinner/Deggendorf als eigenständiges Unternehmen unter Annegret — gleichzeitig sachliche Lösung für Annegret-Konflikt und kartellrechtliches Remedy</w:t>
      </w:r>
    </w:p>
    <w:p>
      <w:pPr>
        <w:pStyle w:val="ListBullet"/>
      </w:pPr>
      <w:r>
        <w:t>Zeitachse: Phase-I-Freigabe bis 04.04.2026 angestrebt; falls Phase II (§ 40 Abs. 3 GWB: 4 Monate): Closing verzögert sich bis August/September 2026</w:t>
      </w:r>
    </w:p>
    <w:p>
      <w:pPr>
        <w:jc w:val="left"/>
      </w:pPr>
      <w:r>
        <w:rPr>
          <w:b/>
        </w:rPr>
        <w:t>Referenzen:</w:t>
      </w:r>
      <w:r>
        <w:t xml:space="preserve"> GWB §§ 35-44; Bekanntmachung BKartA Vollzugsverbot; VO (EG) 139/2004 (FKVO) nicht anwendbar (Umsatzschwellen EU nicht erreicht).</w:t>
      </w:r>
    </w:p>
    <w:p>
      <w:pPr>
        <w:jc w:val="left"/>
      </w:pPr>
      <w:r>
        <w:rPr>
          <w:b/>
        </w:rPr>
        <w:t>Bearbeiter:</w:t>
      </w:r>
      <w:r>
        <w:t xml:space="preserve"> RA Dr. Tobias Stenzl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