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17 — Mitarbeiterkommunikation Day 1: § 613a BGB-Unterrichtung und Betriebsrat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Bearbeiterin Arbeitsrecht:</w:t>
      </w:r>
      <w:r>
        <w:t xml:space="preserve"> RAin Katharina Finsterer</w:t>
      </w:r>
    </w:p>
    <w:p>
      <w:pPr>
        <w:jc w:val="left"/>
      </w:pPr>
      <w:r>
        <w:rPr>
          <w:b/>
        </w:rPr>
        <w:t>Datum:</w:t>
      </w:r>
      <w:r>
        <w:t xml:space="preserve"> 07. April 2026</w:t>
      </w:r>
    </w:p>
    <w:p/>
    <w:p>
      <w:pPr>
        <w:pStyle w:val="Heading2"/>
      </w:pPr>
      <w:r>
        <w:rPr>
          <w:rFonts w:ascii="Times New Roman" w:hAnsi="Times New Roman"/>
        </w:rPr>
        <w:t>1. Day-1-Kommunikationsstrategie</w:t>
      </w:r>
    </w:p>
    <w:p>
      <w:pPr>
        <w:pStyle w:val="Heading3"/>
      </w:pPr>
      <w:r>
        <w:rPr>
          <w:rFonts w:ascii="Times New Roman" w:hAnsi="Times New Roman"/>
        </w:rPr>
        <w:t>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T-10 (05.05.2026)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Betriebsrat vorab informiert (vertraulich, soweit möglich)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T-3 (12.05.2026)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Signing (geplant 15.05.2026); Betriebsrat erhält Volltext Interessenausgleich zur Unterzeichnung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T-0 (15.05.2026)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Signing-Tag: gleichzeitige Versendung Mitarbeiterbrief (§ 613a BGB-Unterrichtung) an alle 280 MA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T+1 (16.05.2026)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Town Hall Meeting alle Werke; Lucas Pellbach und Dr. Marcus Steinweg persönlich anwesend Passau; Video-Zuschaltung Suzhou und Wroclaw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T+7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Individualgespräche Führungskräfte durch 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T+30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First follow-up: Q&amp;A-Session Betriebsrat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§ 613a BGB-Unterrichtungsschreiben — Inhalt</w:t>
      </w:r>
    </w:p>
    <w:p>
      <w:pPr>
        <w:jc w:val="left"/>
      </w:pPr>
      <w:r>
        <w:t>Das Unterrichtungsschreiben muss gemäß § 613a Abs. 5 BGB folgende Informationen enthalten:</w:t>
      </w:r>
    </w:p>
    <w:p>
      <w:pPr>
        <w:pStyle w:val="ListNumber"/>
      </w:pPr>
      <w:r>
        <w:t>Zeitpunkt und Grund des (etwaigen) Betriebsübergangs</w:t>
      </w:r>
    </w:p>
    <w:p>
      <w:pPr>
        <w:pStyle w:val="ListNumber"/>
      </w:pPr>
      <w:r>
        <w:t>Rechtliche, wirtschaftliche und soziale Folgen des Übergangs für die Arbeitnehmer</w:t>
      </w:r>
    </w:p>
    <w:p>
      <w:pPr>
        <w:pStyle w:val="ListNumber"/>
      </w:pPr>
      <w:r>
        <w:t>Hinsichtlich der Arbeitnehmer in Aussicht genommene Maßnahmen</w:t>
      </w:r>
    </w:p>
    <w:p>
      <w:pPr>
        <w:pStyle w:val="ListNumber"/>
      </w:pPr>
      <w:r>
        <w:t>Widerspruchsrecht der Arbeitnehmer (§ 613a Abs. 6 BGB)</w:t>
      </w:r>
    </w:p>
    <w:p>
      <w:pPr>
        <w:jc w:val="left"/>
      </w:pPr>
      <w:r>
        <w:rPr>
          <w:b/>
        </w:rPr>
        <w:t>Klarstellung:</w:t>
      </w:r>
      <w:r>
        <w:t xml:space="preserve"> Da vorliegend ein </w:t>
      </w:r>
      <w:r>
        <w:rPr>
          <w:b/>
        </w:rPr>
        <w:t>Share Deal</w:t>
      </w:r>
      <w:r>
        <w:t xml:space="preserve"> (kein Betriebsübergang i.S.v. § 613a BGB) stattfindet, ist ein formales § 613a-Unterrichtungsschreiben rechtlich nicht zwingend. Dennoch wird freiwillig ein Informationsschreiben versandt, das alle relevanten Informationen enthält und das Widerspruchtrecht klarstellt — sowohl für Transparenz als auch zum Schutz vor etwaigen Arbeitnehmer-Ansprüchen (Vertrauensschutz).</w:t>
      </w:r>
    </w:p>
    <w:p>
      <w:pPr>
        <w:jc w:val="left"/>
      </w:pPr>
      <w:r>
        <w:rPr>
          <w:b/>
        </w:rPr>
        <w:t>Besondere Regelung Rinner/Deggendorf:</w:t>
      </w:r>
      <w:r>
        <w:t xml:space="preserve"> Für die 44 MA in Deggendorf (Rinner Präzisionsdrehteile GmbH) findet ein echter § 613a BGB-Übergang statt (GmbH-Anteilsübertragung auf Roosendaal Präzision GmbH im Wege des Carve-Out). Diese erhalten ein formales § 613a Abs. 5-Unterrichtungsschreiben mit Widerspruchsbelehrung; Widerspruchsfrist 1 Monat.</w:t>
      </w:r>
    </w:p>
    <w:p/>
    <w:p>
      <w:pPr>
        <w:pStyle w:val="Heading2"/>
      </w:pPr>
      <w:r>
        <w:rPr>
          <w:rFonts w:ascii="Times New Roman" w:hAnsi="Times New Roman"/>
        </w:rPr>
        <w:t>3. Betriebsratsverhandlung — Interessenausgleich</w:t>
      </w:r>
    </w:p>
    <w:p>
      <w:pPr>
        <w:jc w:val="left"/>
      </w:pPr>
      <w:r>
        <w:rPr>
          <w:b/>
        </w:rPr>
        <w:t>Stand:</w:t>
      </w:r>
      <w:r>
        <w:t xml:space="preserve"> Betriebsrat Pellbach (Vorsitzender Klaus-Dieter Mittermeier) hat einen 7-seitigen Forderungskatalog überreicht (15.03.2026). Verhandlungsrunden: 25.03., 08.04., 22.04.2026.</w:t>
      </w:r>
    </w:p>
    <w:p>
      <w:pPr>
        <w:jc w:val="left"/>
      </w:pPr>
      <w:r>
        <w:rPr>
          <w:b/>
        </w:rPr>
        <w:t>Einigung abgezeichnet (Stand 07.04.2026):</w:t>
      </w:r>
    </w:p>
    <w:p>
      <w:pPr>
        <w:pStyle w:val="ListBullet"/>
      </w:pPr>
      <w:r>
        <w:t>Standortgarantie Passau I und II: 3 Jahre (Kompromiss aus Forderung 5 Jahre) — als Side Letter außerhalb SPA</w:t>
      </w:r>
    </w:p>
    <w:p>
      <w:pPr>
        <w:pStyle w:val="ListBullet"/>
      </w:pPr>
      <w:r>
        <w:t>Beschäftigungssicherung: Keine betriebsbedingten Kündigungen bis 31.12.2027 (statt 31.12.2028)</w:t>
      </w:r>
    </w:p>
    <w:p>
      <w:pPr>
        <w:pStyle w:val="ListBullet"/>
      </w:pPr>
      <w:r>
        <w:t>Mitarbeiterbeteiligung Earn-Out: Kein Anspruch der Belegschaft, aber freiwilliger „Pellbach-Bonus" von max. 1,5 Mio. EUR bei Earn-Out-Erreichung (Lucas Pellbach-Initiative)</w:t>
      </w:r>
    </w:p>
    <w:p>
      <w:pPr>
        <w:pStyle w:val="ListBullet"/>
      </w:pPr>
      <w:r>
        <w:t>Auslagerungsverbot: Informationsrecht Betriebsrat bei Beauftragung von Steinheim-Portfolio-Unternehmen &gt;200 TEUR</w:t>
      </w:r>
    </w:p>
    <w:p>
      <w:pPr>
        <w:jc w:val="left"/>
      </w:pPr>
      <w:r>
        <w:rPr>
          <w:b/>
        </w:rPr>
        <w:t>Einigungsstelle:</w:t>
      </w:r>
      <w:r>
        <w:t xml:space="preserve"> Falls kein Interessenausgleich bis 30.04.2026 — Einigungsstelle nach § 76 BetrVG; Vorsitzender: vorschlagsweise VorsRiArbG a.D. Dr. Stefan Hofmann, München.</w:t>
      </w:r>
    </w:p>
    <w:p/>
    <w:p>
      <w:pPr>
        <w:pStyle w:val="Heading2"/>
      </w:pPr>
      <w:r>
        <w:rPr>
          <w:rFonts w:ascii="Times New Roman" w:hAnsi="Times New Roman"/>
        </w:rPr>
        <w:t>4. Entwurf Town-Hall-Botschaft (Kernpunkte)</w:t>
      </w:r>
    </w:p>
    <w:p>
      <w:pPr>
        <w:pStyle w:val="ListBullet"/>
      </w:pPr>
      <w:r>
        <w:t>„Pellbach bleibt Pellbach" — Marke, Name, Standorte bleiben erhalten</w:t>
      </w:r>
    </w:p>
    <w:p>
      <w:pPr>
        <w:pStyle w:val="ListBullet"/>
      </w:pPr>
      <w:r>
        <w:t>Reinhard Pellbach-Wittfeldt tritt in wohlverdiente Nachfolge; Lucas Pellbach übernimmt operative Führung</w:t>
      </w:r>
    </w:p>
    <w:p>
      <w:pPr>
        <w:pStyle w:val="ListBullet"/>
      </w:pPr>
      <w:r>
        <w:t>Steinheim Capital Partners bringt Wachstumskapital für Expansion und Modernisierung</w:t>
      </w:r>
    </w:p>
    <w:p>
      <w:pPr>
        <w:pStyle w:val="ListBullet"/>
      </w:pPr>
      <w:r>
        <w:t>Arbeitsplätze sicher; Standort Passau gestärkt</w:t>
      </w:r>
    </w:p>
    <w:p>
      <w:pPr>
        <w:pStyle w:val="ListBullet"/>
      </w:pPr>
      <w:r>
        <w:t>China-Geschäft: Lieferbeziehung mit sanktioniertem Lieferanten bereits beendet; kein Risiko für Belegschaft</w:t>
      </w:r>
    </w:p>
    <w:p>
      <w:pPr>
        <w:jc w:val="left"/>
      </w:pPr>
      <w:r>
        <w:rPr>
          <w:b/>
        </w:rPr>
        <w:t>Bearbeiterin:</w:t>
      </w:r>
      <w:r>
        <w:t xml:space="preserve"> RAin Katharina Finsterer | SuP/2026-0041-CES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