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Kundenkommunikation: Key Accounts und Change-of-Control-Klauseln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Verantwortlich:</w:t>
      </w:r>
      <w:r>
        <w:t xml:space="preserve"> Lucas Pellbach (operativ); RAin Schwingenstein-Eichmüller (rechtlich)</w:t>
      </w:r>
    </w:p>
    <w:p>
      <w:pPr>
        <w:jc w:val="left"/>
      </w:pPr>
      <w:r>
        <w:rPr>
          <w:b/>
        </w:rPr>
        <w:t>Datum:</w:t>
      </w:r>
      <w:r>
        <w:t xml:space="preserve"> 09. April 2026</w:t>
      </w:r>
    </w:p>
    <w:p/>
    <w:p>
      <w:pPr>
        <w:pStyle w:val="Heading2"/>
      </w:pPr>
      <w:r>
        <w:rPr>
          <w:rFonts w:ascii="Times New Roman" w:hAnsi="Times New Roman"/>
        </w:rPr>
        <w:t>1. Key-Account-Analyse</w:t>
      </w:r>
    </w:p>
    <w:p>
      <w:pPr>
        <w:jc w:val="left"/>
      </w:pPr>
      <w:r>
        <w:t>Top-10-Kunden nach Umsatz 2024 (insgesamt 41 % des Konzernumsatzes):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Kunde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Umsatz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 Konzernumsatz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Change-of-Control-Klausel im Rahmenvertrag?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 AG, Dingolfing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7,7 %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Siemens AG (Werk Amberg)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6,7 %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(informationspflichtig, kein Kündigungsrecht)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 Truck &amp; Bus, München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5,1 %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(Kündigungsrecht bei CoC!)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ZF Friedrichshafen (Passau-Werk)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Bosch Rexroth Lohr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Knorr-Bremse AG München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3,6 %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(informationspflichtig)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MTU Aero Engines München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(Kündigungsrecht; 6 Monate Frist)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Airbus SE (Augsburg)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2,6 %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Voith GmbH Heidenheim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Schaeffler AG Herzogenaurach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(informationspflichtig)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Kritische Change-of-Control-Situationen</w:t>
      </w:r>
    </w:p>
    <w:p>
      <w:pPr>
        <w:pStyle w:val="Heading3"/>
      </w:pPr>
      <w:r>
        <w:rPr>
          <w:rFonts w:ascii="Times New Roman" w:hAnsi="Times New Roman"/>
        </w:rPr>
        <w:t>MAN Truck &amp; Bus (CoC-Kündigungsrecht)</w:t>
      </w:r>
    </w:p>
    <w:p>
      <w:pPr>
        <w:jc w:val="left"/>
      </w:pPr>
      <w:r>
        <w:t>MAN-Rahmenvertrag (Laufzeit 2023-2026, Verlängerung jährlich): § 14 Abs. 3 enthält Kündigungsrecht MAN bei „Wechsel im Gesellschafterbestand des Auftragnehmers, der zu einer wesentlichen Veränderung der Kontrollverhältnisse führt". Umsatz 4,1 Mio. EUR p.a.</w:t>
      </w:r>
    </w:p>
    <w:p>
      <w:pPr>
        <w:jc w:val="left"/>
      </w:pPr>
      <w:r>
        <w:rPr>
          <w:b/>
        </w:rPr>
        <w:t>Maßnahme:</w:t>
      </w:r>
      <w:r>
        <w:t xml:space="preserve"> Proaktive Kontaktaufnahme MAN-Einkauf (Herr Dr. Walter Neuberger) noch vor Signing. Ziel: schriftliche Bestätigung, dass MAN von Kündigungsrecht keinen Gebrauch macht. Argument: Operatives Management (Lucas) bleibt; Qualitätsstandards unverändert; IATF-Zertifizierung bleibt bestehen.</w:t>
      </w:r>
    </w:p>
    <w:p>
      <w:pPr>
        <w:pStyle w:val="Heading3"/>
      </w:pPr>
      <w:r>
        <w:rPr>
          <w:rFonts w:ascii="Times New Roman" w:hAnsi="Times New Roman"/>
        </w:rPr>
        <w:t>MTU Aero Engines (CoC-Kündigungsrecht, 6 Monate Frist)</w:t>
      </w:r>
    </w:p>
    <w:p>
      <w:pPr>
        <w:jc w:val="left"/>
      </w:pPr>
      <w:r>
        <w:t>MTU-Liefervertrag (Luftfahrt; präzise Werkzeuge): § 21 enthält CoC-Klausel mit 6-monatiger Kündigungsfrist nach Mitteilung. Umsatz 2,4 Mio. EUR p.a.</w:t>
      </w:r>
    </w:p>
    <w:p>
      <w:pPr>
        <w:jc w:val="left"/>
      </w:pPr>
      <w:r>
        <w:rPr>
          <w:b/>
        </w:rPr>
        <w:t>Maßnahme:</w:t>
      </w:r>
      <w:r>
        <w:t xml:space="preserve"> Frühe Einbindung MTU-Qualitätssicherung; Nachweis Kontinuität; ggf. Novation des Vertrags auf NewCo (Pellbach AcquiCo GmbH).</w:t>
      </w:r>
    </w:p>
    <w:p/>
    <w:p>
      <w:pPr>
        <w:pStyle w:val="Heading2"/>
      </w:pPr>
      <w:r>
        <w:rPr>
          <w:rFonts w:ascii="Times New Roman" w:hAnsi="Times New Roman"/>
        </w:rPr>
        <w:t>3. Kommunikationsplan Kunden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Zielgruppe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Pre-Signing (streng vertraulich)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Persönliche Gespräche mit MAN und MTU; CoC-Waiver-Verhandlung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MAN, MTU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Lucas Pellbach + RAin Schwingenstein-Eichmüller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Day of Signing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Versand Informationsbrief (standardisiert); keine Details zu Kaufpreis oder Steinheim-Finanzierung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Top-10-Kunden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Pellbach-Vertrieb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T+5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Telefonate Key-Account-Manager mit Kunden-Einkauf; Präsentation neue Struktur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Top-5-Kunden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Key-Account-Manager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T+30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Kundenvorsorgungstreffen (optional); neue Visitenkarten, neue Ansprechpartner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Top-10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Vertriebsleiter Pellbach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Vertraulichkeit und Pressemitteilung</w:t>
      </w:r>
    </w:p>
    <w:p>
      <w:pPr>
        <w:jc w:val="left"/>
      </w:pPr>
      <w:r>
        <w:t>Keine Pressemitteilung vor Signing. Nach Signing: kurze Pressemitteilung gemeinsam Pellbach/Steinheim; keine Finanzdaten (Kaufpreis vertraulich). Botschaft: strategische Partnerschaft für Wachstum, nicht Verkauf an Finanzinvestor.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