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Signing-Protokoll: Notartermin Dr. Birkenhainer, UR-Nr. 188/26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Notar:</w:t>
      </w:r>
      <w:r>
        <w:t xml:space="preserve"> Dr. Friedrich Birkenhainer, Notariat Passau, Ludwigsplatz 3, 94032 Passau</w:t>
      </w:r>
    </w:p>
    <w:p>
      <w:pPr>
        <w:jc w:val="left"/>
      </w:pPr>
      <w:r>
        <w:rPr>
          <w:b/>
        </w:rPr>
        <w:t>Urkundsnummer:</w:t>
      </w:r>
      <w:r>
        <w:t xml:space="preserve"> UR-Nr. 188/26</w:t>
      </w:r>
    </w:p>
    <w:p>
      <w:pPr>
        <w:jc w:val="left"/>
      </w:pPr>
      <w:r>
        <w:rPr>
          <w:b/>
        </w:rPr>
        <w:t>Signingdatum:</w:t>
      </w:r>
      <w:r>
        <w:t xml:space="preserve"> 15. Mai 2026, 10:00 Uhr</w:t>
      </w:r>
    </w:p>
    <w:p>
      <w:pPr>
        <w:jc w:val="left"/>
      </w:pPr>
      <w:r>
        <w:rPr>
          <w:b/>
        </w:rPr>
        <w:t>Ort:</w:t>
      </w:r>
      <w:r>
        <w:t xml:space="preserve"> Notariat Dr. Birkenhainer, Passau</w:t>
      </w:r>
    </w:p>
    <w:p/>
    <w:p>
      <w:pPr>
        <w:pStyle w:val="Heading2"/>
      </w:pPr>
      <w:r>
        <w:rPr>
          <w:rFonts w:ascii="Times New Roman" w:hAnsi="Times New Roman"/>
        </w:rPr>
        <w:t>1. Erschienene Personen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Vollmacht/Legitimation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Reinhard Pellbach-Wittfeldt (geb. 14.03.1948)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Verkäufer; alleiniger Kommanditist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Personalausweis Nr. L1A23B456, ausgegeben Stadt Passau 2021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Dr. Cornelia Schwingenstein-Eichmüller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Vertreter für Reinhard in Teilbereichen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Notariell beglaubigte Vollmacht v. 09.01.2026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Lucas Pellbach (geb. 07.09.1981)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Käufer (Management-Gesellschafter); GF NewCo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Personalausweis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Marcus Steinweg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Steinheim Capital Partners; GF NewCo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Personalausweis; Handelsregisterauszug Steinheim Cap. Partners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Jens Hollweg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Vertreter Wammeshübel Zwirnknäuel &amp; Sozien für Käuferseite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Vollmacht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Annegret Pellbach-Roosendaal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Gesellschafterin Pellbach Verwaltungs-GmbH; unterzeichnet Carve-Out-Vertrag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Personalausweis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Friedrich Birkenhainer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Beurkundete Dokumente (UR-Nr. 188/26)</w:t>
      </w:r>
    </w:p>
    <w:p>
      <w:pPr>
        <w:pStyle w:val="ListNumber"/>
      </w:pPr>
      <w:r>
        <w:rPr>
          <w:b/>
        </w:rPr>
        <w:t>Share Purchase Agreement</w:t>
      </w:r>
      <w:r>
        <w:t xml:space="preserve"> (SPA v4, 30 Klauseln, Schedules 1-12): Übertragung 100 % Kommanditanteile Pellbach Werkzeugbau GmbH &amp; Co. KG und 68 % Geschäftsanteile Pellbach Verwaltungs-GmbH von Reinhard Pellbach-Wittfeldt an Pellbach AcquiCo GmbH</w:t>
      </w:r>
    </w:p>
    <w:p>
      <w:pPr>
        <w:pStyle w:val="ListNumber"/>
      </w:pPr>
      <w:r>
        <w:rPr>
          <w:b/>
        </w:rPr>
        <w:t>Gesellschafterbeschluss</w:t>
      </w:r>
      <w:r>
        <w:t xml:space="preserve"> Pellbach Verwaltungs-GmbH: Zustimmung Anteilsübertragung (§§ 47, 51 GmbHG); Reinhard stimmt mit 68 % dafür, Annegret mit 32 % dagegen — Beschluss gefasst</w:t>
      </w:r>
    </w:p>
    <w:p>
      <w:pPr>
        <w:pStyle w:val="ListNumber"/>
      </w:pPr>
      <w:r>
        <w:rPr>
          <w:b/>
        </w:rPr>
        <w:t>Carve-Out-Vertrag</w:t>
      </w:r>
      <w:r>
        <w:t xml:space="preserve"> Rinner Präzisionsdrehteile GmbH (UR-Nr. 189/26, gesondertes Protokoll): Übertragung Anteile Rinner an Roosendaal Präzision GmbH; Kaufpreis 4,2 Mio. EUR</w:t>
      </w:r>
    </w:p>
    <w:p>
      <w:pPr>
        <w:pStyle w:val="ListNumber"/>
      </w:pPr>
      <w:r>
        <w:rPr>
          <w:b/>
        </w:rPr>
        <w:t>Nießbrauch-Vereinbarung</w:t>
      </w:r>
      <w:r>
        <w:t xml:space="preserve"> Reinhard (Privatgrundstück Salzwegstraße 12): Eintragung Nießbrauch zugunsten Reinhard im Grundbuch; bleibt unberührt von Transaktion</w:t>
      </w:r>
    </w:p>
    <w:p>
      <w:pPr>
        <w:pStyle w:val="ListNumber"/>
      </w:pPr>
      <w:r>
        <w:rPr>
          <w:b/>
        </w:rPr>
        <w:t>Side Letter Betriebsrat</w:t>
      </w:r>
      <w:r>
        <w:t xml:space="preserve"> (nicht beurkundet, nur unterschrieben): Standortgarantie und Beschäftigungssicherung</w:t>
      </w:r>
    </w:p>
    <w:p/>
    <w:p>
      <w:pPr>
        <w:pStyle w:val="Heading2"/>
      </w:pPr>
      <w:r>
        <w:rPr>
          <w:rFonts w:ascii="Times New Roman" w:hAnsi="Times New Roman"/>
        </w:rPr>
        <w:t>3. Wesentliche Signing-Feststellungen</w:t>
      </w:r>
    </w:p>
    <w:p>
      <w:pPr>
        <w:pStyle w:val="ListBullet"/>
      </w:pPr>
      <w:r>
        <w:t>Closing-Conditions (Bedingungen nach Klausel 6 SPA): BKartA-Freigabe noch ausstehend; alle übrigen CP erfüllt (W&amp;I-Police unterzeichnet; Vollmachten gültig; VDD abgeschlossen)</w:t>
      </w:r>
    </w:p>
    <w:p>
      <w:pPr>
        <w:pStyle w:val="ListBullet"/>
      </w:pPr>
      <w:r>
        <w:t xml:space="preserve">Vollzug des SPA: </w:t>
      </w:r>
      <w:r>
        <w:rPr>
          <w:b/>
        </w:rPr>
        <w:t>Schwebend bis BKartA-Freigabe</w:t>
      </w:r>
      <w:r>
        <w:t xml:space="preserve"> (voraussichtlich bis 30.06.2026)</w:t>
      </w:r>
    </w:p>
    <w:p>
      <w:pPr>
        <w:pStyle w:val="ListBullet"/>
      </w:pPr>
      <w:r>
        <w:t>Kaufpreis: Barzahlung 85,0 Mio. EUR bei Closing; Earn-Out max. 10 Mio. EUR bei GJ 2028; Escrow 800 TEUR (Umwelt + Polen)</w:t>
      </w:r>
    </w:p>
    <w:p>
      <w:pPr>
        <w:pStyle w:val="ListBullet"/>
      </w:pPr>
      <w:r>
        <w:t>Notarkosten (GNotKG): Geschäftswert 85 Mio. EUR; Notargebühr incl. MwSt. ca. 48.000 EUR (Kostenteilung 50/50 gemäß SPA Klausel 20)</w:t>
      </w:r>
    </w:p>
    <w:p/>
    <w:p>
      <w:pPr>
        <w:pStyle w:val="Heading2"/>
      </w:pPr>
      <w:r>
        <w:rPr>
          <w:rFonts w:ascii="Times New Roman" w:hAnsi="Times New Roman"/>
        </w:rPr>
        <w:t>4. Nachbeurkundungsaufgaben</w:t>
      </w:r>
    </w:p>
    <w:p>
      <w:pPr>
        <w:pStyle w:val="ListBullet"/>
      </w:pPr>
      <w:r>
        <w:t>[ ] Handelsregisteranmeldung Kommanditistenwechsel (HRA 8841 Passau): Frist 30 Tage nach Closing</w:t>
      </w:r>
    </w:p>
    <w:p>
      <w:pPr>
        <w:pStyle w:val="ListBullet"/>
      </w:pPr>
      <w:r>
        <w:t>[ ] Abtretungsanzeige an alle Vertragspartner des Target (insbesondere Banken, Leasinggeber)</w:t>
      </w:r>
    </w:p>
    <w:p>
      <w:pPr>
        <w:pStyle w:val="ListBullet"/>
      </w:pPr>
      <w:r>
        <w:t>[ ] IBAN-Wechsel Escrow-Konto einrichten (Commerzbank München; Treuhänder: RA Dr. Hollweg)</w:t>
      </w:r>
    </w:p>
    <w:p>
      <w:pPr>
        <w:pStyle w:val="ListBullet"/>
      </w:pPr>
      <w:r>
        <w:t>[ ] BKartA informieren über Signing; Vollzug nach Freigabe bestätigen</w:t>
      </w:r>
    </w:p>
    <w:p>
      <w:pPr>
        <w:jc w:val="left"/>
      </w:pPr>
      <w:r>
        <w:rPr>
          <w:b/>
        </w:rPr>
        <w:t>Notar:</w:t>
      </w:r>
      <w:r>
        <w:t xml:space="preserve"> Dr. Friedrich Birkenhainer | UR-Nr. 188/26 | 15.05.2026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