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Closing-Checkliste: Vollzug des Share Purchase Agreement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Signing:</w:t>
      </w:r>
      <w:r>
        <w:t xml:space="preserve"> 15. Mai 2026</w:t>
      </w:r>
    </w:p>
    <w:p>
      <w:pPr>
        <w:jc w:val="left"/>
      </w:pPr>
      <w:r>
        <w:rPr>
          <w:b/>
        </w:rPr>
        <w:t>Closing (Ziel):</w:t>
      </w:r>
      <w:r>
        <w:t xml:space="preserve"> 30. Juni 2026 (nach BKartA-Freigabe)</w:t>
      </w:r>
    </w:p>
    <w:p>
      <w:pPr>
        <w:jc w:val="left"/>
      </w:pPr>
      <w:r>
        <w:rPr>
          <w:b/>
        </w:rPr>
        <w:t>Closing-Koordinatorin:</w:t>
      </w:r>
      <w:r>
        <w:t xml:space="preserve"> RAin Dr. Cornelia Schwingenstein-Eichmüller</w:t>
      </w:r>
    </w:p>
    <w:p/>
    <w:p>
      <w:pPr>
        <w:pStyle w:val="Heading2"/>
      </w:pPr>
      <w:r>
        <w:rPr>
          <w:rFonts w:ascii="Times New Roman" w:hAnsi="Times New Roman"/>
        </w:rPr>
        <w:t>1. Closing-Conditions (SPA Klausel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Bedingung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BKartA-Freigabe (Az. B 6-188/26)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 — Phase I endet 04.04.2026; Phase II möglich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Stenzl / BKartA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Closing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wesentliche MAC seit Locked-Box-Datum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ausstehend (China-Lieferant beendet)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Pellbach / Dr. Schwingenstein-Eichmüller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Tage vor Closing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W&amp;I-Police in Kraft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HDI Global erhalten 12.03.2026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Aon / HDI Global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VDD-Offenlegung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VDD-Abschlussbericht ✓; Q&amp;A-Runde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KPMG / Schwingenstein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OT-Security-Audit abgeschlossen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TÜV-Süd-Beauftragung laufend; Ergebnis erwartet 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 Süd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Carve-Out Rinner vollzogen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UR-Nr. 189/26 unterzeichnet 15.05.2026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Birkenhainer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Betriebsrat-Interessenausgleich unterschrieben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Unterschriften ausstehend (erwartet 12.05.2026)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Finsterer / BR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Bankfreigabe für Grundschuldbestellung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UniCredit-Bestätigung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Steinheim / UniCredit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Closing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Lieferbeziehung Kharkov Precision Parts beendet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Schriftliche Bestätigung Suzhou-Management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Lucas Pellbach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Closing-Day-Ablauf (30.06.2026, geplant)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08:00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BKartA-Freigabedokument (digital); Prüfung auf Auflagen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09:00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Telefonkonferenz alle Parteien und Berater: Go/No-Go Closing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10:00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Closing-Meeting bei Notar Dr. Birkenhainer, Passau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10:15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Unterzeichnung Closing-Protokoll; Bestätigung Vollzug SPA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10:30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 Kaufpreis 85 Mio. EUR von NewCo-Konto auf Konto Reinhard (ING Bank Frankfurt; IBAN angegeben in SPA Schedule 9)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10:45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Unterzeichnung Escrow-Freigabe (800 TEUR; Escrow-Konto Commerzbank)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Anmeldung Handelsregisterwechsel beim Amtsgericht Passau (RA Dr. Hollweg)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11:30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Pressemitteilung freigegeben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Town-Hall-Meeting Mitarbeiter (gleichzeitig alle Standorte)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Post-Closing-Pflichten (30 Tage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HR-Anmeldung Gesellschafterwechsel bei Sozialversicherungsträgern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 Pellbach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Ummeldung Betriebsstätten (Gewerbeamt Passau, Deggendorf)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Lucas Pellbach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Aktualisierung Bankkonten, Vollmachten, Zeichnungsberechtigungen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CFO (Nachfolger Lucas)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Earn-Out-Baseline-Feststellung (bereinigtes EBITDA Schlusstag)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KPMG + Steinheim-CFO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Versicherungen umschreiben (Gebäude, Haftpflicht, D&amp;O)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Steinheim-Risikomanagement</w:t>
            </w:r>
          </w:p>
        </w:tc>
      </w:tr>
    </w:tbl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