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Abschlussvermerk: Mandatsbilanz, Lessons Learned, Archivierung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</w:t>
      </w:r>
    </w:p>
    <w:p>
      <w:pPr>
        <w:jc w:val="left"/>
      </w:pPr>
      <w:r>
        <w:rPr>
          <w:b/>
        </w:rPr>
        <w:t>Datum:</w:t>
      </w:r>
      <w:r>
        <w:t xml:space="preserve"> 15. Juli 2026 (nach Closing 30.06.2026)</w:t>
      </w:r>
    </w:p>
    <w:p/>
    <w:p>
      <w:pPr>
        <w:pStyle w:val="Heading2"/>
      </w:pPr>
      <w:r>
        <w:rPr>
          <w:rFonts w:ascii="Times New Roman" w:hAnsi="Times New Roman"/>
        </w:rPr>
        <w:t>1. Closing-Ergebnis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 Juni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 bar (Closing)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85,0 Mio. EUR (gezahlt auf Konto Reinhard ING Bank)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Earn-Out max.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10,0 Mio. EUR (GJ 2028; Baseline vereinbart)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Escrow-Einbehalt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800 TEUR (Umwelt 500 TEUR / Polen 300 TEUR)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BKartA-Freigabe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I, keine Auflagen (24.06.2026; 2 Tage vor Closing)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Carve-Out Rinner abgeschlossen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 ✓ (Kaufpreis 4,2 Mio.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W&amp;I-Versicherung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Kraft; Prämie 240 TEUR gezahlt (60 % Steinheim, 40 % Reinhard — Kompromiss)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Wesentliche Verhandlungsergebnisse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Ausgang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Kaufpreismechanismus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Locked-Box (Verkäufererfolg)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MAC-China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Heilungsmechanismus vereinbart; Lieferant Kharkov beendet vor Closing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Pensionsindemnity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1,25 Mio. EUR + persönliche Bürgschaft Reinhard 250 TEUR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Polen-Indemnity / Escrow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4-Jahre-Escrow 300 TEUR (Kompromiss)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Umwelt-Indemnity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Cap 1,5 Mio. EUR (Verkäufererfolg)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Earn-Out HGB/IFRS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HGB + definierter Bereinigungskatalog (Verkäufererfolg)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Betriebsrat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Standortgarantie 3 Jahre; Beschäftigungssicherung bis 31.12.2027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Tokio Heavy Topping-Up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akzeptiert; Exklusivität gewahrt; Tokio ausgeschieden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Annegret-Carve-Out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Vollzogen; Rinner GmbH zu 4,2 Mio. EUR an Roosendaal Präzision GmbH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Lessons Learned</w:t>
      </w:r>
    </w:p>
    <w:p>
      <w:pPr>
        <w:pStyle w:val="ListNumber"/>
      </w:pPr>
      <w:r>
        <w:rPr>
          <w:b/>
        </w:rPr>
        <w:t>Interessenkonflikt Familienmitglieder:</w:t>
      </w:r>
      <w:r>
        <w:t xml:space="preserve"> Annegretes Forderungen nach Carve-Out hätten früher verhandelt werden sollen; zeitlicher Druck gegen Ende war vermeidbar. Empfehlung: Frühzeitige Einbindung aller Familiengesellschafter in Vorgesprächen.</w:t>
      </w:r>
    </w:p>
    <w:p>
      <w:pPr>
        <w:pStyle w:val="ListNumber"/>
      </w:pPr>
      <w:r>
        <w:rPr>
          <w:b/>
        </w:rPr>
        <w:t>Schwarze Kasse Polen:</w:t>
      </w:r>
      <w:r>
        <w:t xml:space="preserve"> Discovery im Rahmen VDD — Selbstanzeige (§ 371 AO) durch StB Haslinger eingereicht am 22.04.2026; steuerliche Nachlastrisiken durch Escrow gesichert. Kanzlei-Empfehlung für künftige Mandate: Tax-DD-Scope immer auch Tochtergesellschaften in Schwellenländern umfassen.</w:t>
      </w:r>
    </w:p>
    <w:p>
      <w:pPr>
        <w:pStyle w:val="ListNumber"/>
      </w:pPr>
      <w:r>
        <w:rPr>
          <w:b/>
        </w:rPr>
        <w:t>China-Sanktionen:</w:t>
      </w:r>
      <w:r>
        <w:t xml:space="preserve"> Frühzeitige Legal Opinion (Prof. Dr. Thiesen) war entscheidend für Vermeidung eines Deal-Breakers. Steinheim hätte MAC-Klausel sonst als Deal-Bedingung bestanden.</w:t>
      </w:r>
    </w:p>
    <w:p>
      <w:pPr>
        <w:pStyle w:val="ListNumber"/>
      </w:pPr>
      <w:r>
        <w:rPr>
          <w:b/>
        </w:rPr>
        <w:t>Tokio Heavy:</w:t>
      </w:r>
      <w:r>
        <w:t xml:space="preserve"> Das Konkurrenzbieter-Topping-Up von Tokio Heavy war ein taktisches Manöver; die Exklusivitätsfrist wurde gewahrt. Empfehlung: Exklusivitätsfrist mindestens 90 Tage ab LOI; hier waren es 60 Tage (knapp).</w:t>
      </w:r>
    </w:p>
    <w:p>
      <w:pPr>
        <w:pStyle w:val="ListNumber"/>
      </w:pPr>
      <w:r>
        <w:rPr>
          <w:b/>
        </w:rPr>
        <w:t>Betriebsrat:</w:t>
      </w:r>
      <w:r>
        <w:t xml:space="preserve"> Frühe, transparente Einbindung des Betriebsrats (ab T-30 vor Signing, unter Vertraulichkeit) wäre effizienter gewesen; Einigungsstellendrohung war vermeidbar.</w:t>
      </w:r>
    </w:p>
    <w:p/>
    <w:p>
      <w:pPr>
        <w:pStyle w:val="Heading2"/>
      </w:pPr>
      <w:r>
        <w:rPr>
          <w:rFonts w:ascii="Times New Roman" w:hAnsi="Times New Roman"/>
        </w:rPr>
        <w:t>4. Honorarabrechnung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Stundensatz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Dr. Schwingenstein-Eichmüller (M&amp;A)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320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153.600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Finsterer (Arbeitsrecht)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85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32.300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Brandner (IT/IP)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17.100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Stenzl (Kartell, Berlin)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110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46.200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Ass. Hartmannsgruber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180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39.600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Zwischensumme Zeithonorar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288.800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Closing-Bonus (0,25 % von 85 Mio. EUR)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212.500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Auslagen (VDR, Reisekosten, Expertengutachten)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zzgl. MwSt.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519.700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Archivierung</w:t>
      </w:r>
    </w:p>
    <w:p>
      <w:pPr>
        <w:jc w:val="left"/>
      </w:pPr>
      <w:r>
        <w:t>Akte SuP/2026-0041-CES wird 10 Jahre elektronisch aufbewahrt (§ 50 BRAO). Papierdokumente im Kanzleiarchiv München, Tresor 4B. Zerstörung frühestens 15. Juli 2036.</w:t>
      </w:r>
    </w:p>
    <w:p>
      <w:pPr>
        <w:jc w:val="left"/>
      </w:pPr>
      <w:r>
        <w:t xml:space="preserve">Abgeschlossen: </w:t>
      </w:r>
      <w:r>
        <w:rPr>
          <w:b/>
        </w:rPr>
        <w:t>RAin Dr. Cornelia Schwingenstein-Eichmüller</w:t>
      </w:r>
      <w:r>
        <w:t>, Schwingenstein und Partner Rechtsanwälte mbB, München, 15. Juli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