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Zeitstrahl Rechtekette und Vertragsstände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Auffälligkeit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12.01.2024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Mara Wendelstein beginnt als Senior Engineer bei Codeforst.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Vorher privates Repository “owl-route-core”; keine saubere Inventarliste beim Eintritt.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03.03.2024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erster Prototype DispatchMind im Kunden-PoC.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Kundenfeedback fließt direkt in Produkt-Roadmap; Feedback-Lizenz nur mündlich.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19.07.2024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US-Contractor Ephraim Caldwell liefert Matching-Algorithmus.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 enthält “work made for hire”, aber keine ausdrücklich gegenwartsbezogene Rechteübertragung für den Fall der Unwirksamkeit.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07.10.2024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polnisches Nearshore-Team fügt “GraphWeaver” hinzu.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SBOM zeigt AGPL-3.0-Komponente; Engineering sagt “nur dev dependency”, Build-Log spricht dagegen.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Sales-E-Mail an Sonnenklee: “all IP, no audit worries”.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Widerspricht Vertrag, der nur Subscription und beschränkte Nutzung vorsieht.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SaaS Master Agreement unterschrieben.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Deutsches Recht, LG München I; Haftung cap 12 Monatsgebühren, IP-Indemnity unklar.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Sonnenklee rollt Plattform auf vier Tochtergesellschaften aus.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Affiliate-Nutzung im Vertrag nur für zwei namentlich genannte Gesellschaften.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Kundenaudit findet Container-Orchestrierung mit 418 aktiven Servicekonten.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Lizenzmetrik zählt Named Users; API- und Serviceaccounts nicht sauber definiert.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Sonnenklee verlangt Source Escrow und Datenexport binnen fünf Werktagen.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Data-Act-/Exit-/Escrow-Regeln kollidieren.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