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Prüffragen Softwarerecht</w:t>
      </w:r>
    </w:p>
    <w:p>
      <w:pPr>
        <w:pStyle w:val="Heading2"/>
      </w:pPr>
      <w:r>
        <w:rPr>
          <w:rFonts w:ascii="Times New Roman" w:hAnsi="Times New Roman"/>
        </w:rPr>
        <w:t>Rechtekette</w:t>
      </w:r>
    </w:p>
    <w:p>
      <w:pPr>
        <w:pStyle w:val="ListBullet"/>
      </w:pPr>
      <w:r>
        <w:t>Welche Bestandteile sind Computerprogramme im Sinne von § 69a UrhG, welche sind Dokumentation, Datenbank, GUI, API-Spezifikation oder Geschäftsgeheimnis?</w:t>
      </w:r>
    </w:p>
    <w:p>
      <w:pPr>
        <w:pStyle w:val="ListBullet"/>
      </w:pPr>
      <w:r>
        <w:t>Greift § 69b UrhG für Mara Wendelsteins Code vollständig oder nur für Code, der in Erfüllung arbeitsvertraglicher Pflichten entstanden ist?</w:t>
      </w:r>
    </w:p>
    <w:p>
      <w:pPr>
        <w:pStyle w:val="ListBullet"/>
      </w:pPr>
      <w:r>
        <w:t>Was folgt daraus, dass privater Vorcode vor Eintritt existierte, aber später refaktoriert und in die CI/CD-Pipeline eingebracht wurde?</w:t>
      </w:r>
    </w:p>
    <w:p>
      <w:pPr>
        <w:pStyle w:val="ListBullet"/>
      </w:pPr>
      <w:r>
        <w:t>Reicht die US-work-made-for-hire-Klausel allein oder braucht es eine assignment backstop clause?</w:t>
      </w:r>
    </w:p>
    <w:p>
      <w:pPr>
        <w:pStyle w:val="Heading2"/>
      </w:pPr>
      <w:r>
        <w:rPr>
          <w:rFonts w:ascii="Times New Roman" w:hAnsi="Times New Roman"/>
        </w:rPr>
        <w:t>Vertrag und Lizenzmetrik</w:t>
      </w:r>
    </w:p>
    <w:p>
      <w:pPr>
        <w:pStyle w:val="ListBullet"/>
      </w:pPr>
      <w:r>
        <w:t>Ist “Named User” auf menschliche Nutzer beschränkt oder umfasst es Serviceaccounts, API-Tokens und Container?</w:t>
      </w:r>
    </w:p>
    <w:p>
      <w:pPr>
        <w:pStyle w:val="ListBullet"/>
      </w:pPr>
      <w:r>
        <w:t>Ist der Affiliate-Rollout auf weitere Konzerngesellschaften ein Vertragsbruch oder von der Rahmenvereinbarung gedeckt?</w:t>
      </w:r>
    </w:p>
    <w:p>
      <w:pPr>
        <w:pStyle w:val="ListBullet"/>
      </w:pPr>
      <w:r>
        <w:t>Ist die Auditklausel AGB-fest, datenschutzfest und technisch ausführbar?</w:t>
      </w:r>
    </w:p>
    <w:p>
      <w:pPr>
        <w:pStyle w:val="Heading2"/>
      </w:pPr>
      <w:r>
        <w:rPr>
          <w:rFonts w:ascii="Times New Roman" w:hAnsi="Times New Roman"/>
        </w:rPr>
        <w:t>Regulierung und Produkt</w:t>
      </w:r>
    </w:p>
    <w:p>
      <w:pPr>
        <w:pStyle w:val="ListBullet"/>
      </w:pPr>
      <w:r>
        <w:t>Welche Data-Act-Pflichten können bei vernetzten Fahrzeug-/Flottendaten ausgelöst werden?</w:t>
      </w:r>
    </w:p>
    <w:p>
      <w:pPr>
        <w:pStyle w:val="ListBullet"/>
      </w:pPr>
      <w:r>
        <w:t>Hat DispatchMind als KI-Modul eine Zweckbestimmung, die KI-VO-Rollen, Transparenz oder Hochrisiko-Fragen berührt?</w:t>
      </w:r>
    </w:p>
    <w:p>
      <w:pPr>
        <w:pStyle w:val="ListBullet"/>
      </w:pPr>
      <w:r>
        <w:t>Ist RouteLuchs ein Produkt mit digitalen Elementen im Sinne des Cyber Resilience Act?</w:t>
      </w:r>
    </w:p>
    <w:p>
      <w:pPr>
        <w:pStyle w:val="Heading2"/>
      </w:pPr>
      <w:r>
        <w:rPr>
          <w:rFonts w:ascii="Times New Roman" w:hAnsi="Times New Roman"/>
        </w:rPr>
        <w:t>Streitstrategie</w:t>
      </w:r>
    </w:p>
    <w:p>
      <w:pPr>
        <w:pStyle w:val="ListBullet"/>
      </w:pPr>
      <w:r>
        <w:t>Was kann Codeforst kurzfristig sagen, ohne Rechtekettenprobleme einzuräumen?</w:t>
      </w:r>
    </w:p>
    <w:p>
      <w:pPr>
        <w:pStyle w:val="ListBullet"/>
      </w:pPr>
      <w:r>
        <w:t>Welche Dokumente müssen sofort gesichert werden: Git, Jira, Slack, SBOM, Build-Logs, Contractor-Kommunikation, Kundenmails?</w:t>
      </w:r>
    </w:p>
    <w:p>
      <w:pPr>
        <w:pStyle w:val="ListBullet"/>
      </w:pPr>
      <w:r>
        <w:t>Welche Vergleichslinie ist realistisch: Lizenznachtrag, OSS-Remediation, Escrow-Verifikation, Audit-Shield, Nachvergütung?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