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Notiz Mara Wendelstein - privater Vorcode</w:t>
      </w:r>
    </w:p>
    <w:p>
      <w:pPr>
        <w:jc w:val="left"/>
      </w:pPr>
      <w:r>
        <w:t xml:space="preserve">Mara Wendelstein schreibt im Gespräch vom 01.06.2026, sie habe “den Kern der Routensuche” schon 2023 als privates Wochenendprojekt gebaut. Sie habe nie Geld damit verdient, aber das Repository sei auf einem privaten GitHub-Account gelegen. Beim Eintritt bei Codeforst habe niemand nach Vorcode gefragt. Im April 2024 habe sie die private Bibliothek “nur als Denkstütze” neu implementiert. Der Commit </w:t>
      </w:r>
      <w:r>
        <w:t>8f4c-route-solver-cleanup</w:t>
      </w:r>
      <w:r>
        <w:t xml:space="preserve"> enthält jedoch identische Funktionsnamen und zwei sehr ähnliche Testfixtures.</w:t>
      </w:r>
    </w:p>
    <w:p>
      <w:pPr>
        <w:pStyle w:val="Heading2"/>
      </w:pPr>
      <w:r>
        <w:rPr>
          <w:rFonts w:ascii="Times New Roman" w:hAnsi="Times New Roman"/>
        </w:rPr>
        <w:t>Arbeitsvertragliche Lage</w:t>
      </w:r>
    </w:p>
    <w:p>
      <w:pPr>
        <w:jc w:val="left"/>
      </w:pPr>
      <w:r>
        <w:t>Der Arbeitsvertrag enthält eine Standardklausel: “Alle im Rahmen der Tätigkeit geschaffenen Arbeitsergebnisse stehen der Arbeitgeberin zu.” Er enthält keine Anlage zu eingebrachten Vorarbeiten, keine Open-Source-Policy und keine Regelung zu privatem Code. Der Code of Conduct erwähnt nur Geheimhaltung und Datenschutz.</w:t>
      </w:r>
    </w:p>
    <w:p>
      <w:pPr>
        <w:pStyle w:val="Heading2"/>
      </w:pPr>
      <w:r>
        <w:rPr>
          <w:rFonts w:ascii="Times New Roman" w:hAnsi="Times New Roman"/>
        </w:rPr>
        <w:t>Praktisches Problem</w:t>
      </w:r>
    </w:p>
    <w:p>
      <w:pPr>
        <w:jc w:val="left"/>
      </w:pPr>
      <w:r>
        <w:t>Wenn der Vorcode als selbständiges Werk oder als nicht bloß triviale Vorstufe gilt, kann die Rechtekette nicht allein über § 69b UrhG geschlossen werden. Codeforst benötigt dann mindestens eine nachträgliche Rechteklärung mit Mara, idealerweise mit genauer Modulbeschreibung, Repository-Hash, Vergütungsklausel, Garantie zu Drittmaterial und Carve-out für private Weiterentwicklung.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