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Lizenzmetrik-Streit Sonnenklee</w:t>
      </w:r>
    </w:p>
    <w:p>
      <w:pPr>
        <w:jc w:val="left"/>
      </w:pPr>
      <w:r>
        <w:t>Der Vertrag erlaubt 480 Named User und zwei Affiliates. Sonnenklee nutzt das System in der Zentrale, vier Tochtergesellschaften und bei drei Werkstattpartnern. Die technische Messung zeigt 417 menschliche Accounts, 76 Serviceaccounts, 51 API-Tokens und 43 Container-Instanzen mit eigenem Auth-Key.</w:t>
      </w:r>
    </w:p>
    <w:p>
      <w:pPr>
        <w:pStyle w:val="Heading2"/>
      </w:pPr>
      <w:r>
        <w:rPr>
          <w:rFonts w:ascii="Times New Roman" w:hAnsi="Times New Roman"/>
        </w:rPr>
        <w:t>Position Codeforst</w:t>
      </w:r>
    </w:p>
    <w:p>
      <w:pPr>
        <w:jc w:val="left"/>
      </w:pPr>
      <w:r>
        <w:t>Serviceaccounts und API-Tokens sind nach Sinn und Zweck lizenzpflichtig, weil sie eigenständige Systemzugriffe erzeugen. Die Affiliate-Erweiterung war bewusst auf zwei Gesellschaften begrenzt. Werkstattpartner sind Dritte und nicht automatisch erfasst.</w:t>
      </w:r>
    </w:p>
    <w:p>
      <w:pPr>
        <w:pStyle w:val="Heading2"/>
      </w:pPr>
      <w:r>
        <w:rPr>
          <w:rFonts w:ascii="Times New Roman" w:hAnsi="Times New Roman"/>
        </w:rPr>
        <w:t>Position Sonnenklee</w:t>
      </w:r>
    </w:p>
    <w:p>
      <w:pPr>
        <w:jc w:val="left"/>
      </w:pPr>
      <w:r>
        <w:t>Named User meint nur Menschen. API-Tokens sind technische Hilfsmittel derselben Nutzer. Affiliates seien “im Konzern üblich” und durch Sales-E-Mail bestätigt. Die Werkstattpartner handelten als Erfüllungsgehilfen der Sonnenklee-Gruppe.</w:t>
      </w:r>
    </w:p>
    <w:p>
      <w:pPr>
        <w:pStyle w:val="Heading2"/>
      </w:pPr>
      <w:r>
        <w:rPr>
          <w:rFonts w:ascii="Times New Roman" w:hAnsi="Times New Roman"/>
        </w:rPr>
        <w:t>Offene Belege</w:t>
      </w:r>
    </w:p>
    <w:p>
      <w:pPr>
        <w:pStyle w:val="ListBullet"/>
      </w:pPr>
      <w:r>
        <w:t>Vertrag und Order Form mit Anlage 2.</w:t>
      </w:r>
    </w:p>
    <w:p>
      <w:pPr>
        <w:pStyle w:val="ListBullet"/>
      </w:pPr>
      <w:r>
        <w:t>Sales-E-Mail vom 18.02.2025.</w:t>
      </w:r>
    </w:p>
    <w:p>
      <w:pPr>
        <w:pStyle w:val="ListBullet"/>
      </w:pPr>
      <w:r>
        <w:t>Admin-Export der Nutzer- und Tokenliste.</w:t>
      </w:r>
    </w:p>
    <w:p>
      <w:pPr>
        <w:pStyle w:val="ListBullet"/>
      </w:pPr>
      <w:r>
        <w:t>Rechnungshistorie ohne Nachlizenzierungsposition.</w:t>
      </w:r>
    </w:p>
    <w:p>
      <w:pPr>
        <w:pStyle w:val="ListBullet"/>
      </w:pPr>
      <w:r>
        <w:t>Release Notes, die “partner workshops enabled” erwähnen.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