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Gaplog Data Act / CRA / KI-VO / Produkthaftung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Beobachtung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Arbeitsstand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Data Act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Exit- und Datenzugangsklauseln fehlen für maschinennahe Betriebsdaten.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Vertragliche Datenarten und Rollen müssen getrennt werden.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Cyber Resilience Act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RouteLuchs enthält digitale Produktkomponenten, LuchsBox ist physische Gateway-Hardware.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Hersteller-/Importeur-/Distributorrollen prüfen; SBOM und Vulnerability-Prozess nachziehen.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DispatchMind wird als KI-Modul vermarktet, Zweckbestimmung ist Flottenoptimierung.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Hochrisiko nur bei Zweckentfremdung durch Kunde nicht automatisch; Governance-Klausel einbauen.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Produkthaftung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Falsche Routenpriorisierung kann Fahrzeuge lahmlegen, aber primär Vermögens-/Betriebsunterbrechungsschäden.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Neue EU-Produkthaftung für Software/Updates im Blick behalten.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Telemetrie ist nicht vollständig anonym, Fahrerbezug möglich.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DPA, TOMs, Produktverbesserung und Löschpfade neu aufsetzen.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