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Redline-Notizen deutsches Recht</w:t>
      </w:r>
    </w:p>
    <w:p>
      <w:pPr>
        <w:pStyle w:val="Heading2"/>
      </w:pPr>
      <w:r>
        <w:rPr>
          <w:rFonts w:ascii="Times New Roman" w:hAnsi="Times New Roman"/>
        </w:rPr>
        <w:t>Haftung</w:t>
      </w:r>
    </w:p>
    <w:p>
      <w:pPr>
        <w:jc w:val="left"/>
      </w:pPr>
      <w:r>
        <w:t>Der aktuelle Haftungscap deckt Datenschutz, IP, Vertraulichkeit und Security nicht sauber ab. Für AGB-Festigkeit müssen Kardinalpflichten, Vorsatz/grobe Fahrlässigkeit, Personenschäden und zwingende Haftung getrennt werden. Eine pauschale Haftungsfreistellung für alle OSS-Funde ist riskant, wenn Codeforst die SBOM noch nicht kennt.</w:t>
      </w:r>
    </w:p>
    <w:p>
      <w:pPr>
        <w:pStyle w:val="Heading2"/>
      </w:pPr>
      <w:r>
        <w:rPr>
          <w:rFonts w:ascii="Times New Roman" w:hAnsi="Times New Roman"/>
        </w:rPr>
        <w:t>IP und Nutzungsrechte</w:t>
      </w:r>
    </w:p>
    <w:p>
      <w:pPr>
        <w:jc w:val="left"/>
      </w:pPr>
      <w:r>
        <w:t>Die SaaS-Klausel muss klarstellen, dass Kunden nur ein Zugriffsrecht erhalten, kein Eigentum am Programm, kein Recht zur Bearbeitung und keine Nutzung außerhalb der vereinbarten Affiliates. Feedback darf nur verwertet werden, soweit keine Kundengeheimnisse oder personenbezogenen Daten unkontrolliert übernommen werden.</w:t>
      </w:r>
    </w:p>
    <w:p>
      <w:pPr>
        <w:pStyle w:val="Heading2"/>
      </w:pPr>
      <w:r>
        <w:rPr>
          <w:rFonts w:ascii="Times New Roman" w:hAnsi="Times New Roman"/>
        </w:rPr>
        <w:t>Audit</w:t>
      </w:r>
    </w:p>
    <w:p>
      <w:pPr>
        <w:jc w:val="left"/>
      </w:pPr>
      <w:r>
        <w:t>Auditrechte brauchen Vorankündigung, Umfang, Frequenz, Vertraulichkeit, Datenschutz, technische Durchführung, Kostentragung und Missbrauchsschutz. Ein Audit darf nicht zur Ausforschung des Source Codes führen.</w:t>
      </w:r>
    </w:p>
    <w:p>
      <w:pPr>
        <w:pStyle w:val="Heading2"/>
      </w:pPr>
      <w:r>
        <w:rPr>
          <w:rFonts w:ascii="Times New Roman" w:hAnsi="Times New Roman"/>
        </w:rPr>
        <w:t>Exit</w:t>
      </w:r>
    </w:p>
    <w:p>
      <w:pPr>
        <w:jc w:val="left"/>
      </w:pPr>
      <w:r>
        <w:t>Datenexport muss zwischen Kundendaten, aggregierten Produktdaten, Telemetrie, Modellzuständen und Code getrennt werden. Escrow ist kein allgemeiner Exit-Mechanismus.</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