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Briefing an US-Counsel</w:t>
      </w:r>
    </w:p>
    <w:p>
      <w:pPr>
        <w:pStyle w:val="Heading2"/>
      </w:pPr>
      <w:r>
        <w:rPr>
          <w:rFonts w:ascii="Times New Roman" w:hAnsi="Times New Roman"/>
        </w:rPr>
        <w:t>Fragen Copyright / Contractor</w:t>
      </w:r>
    </w:p>
    <w:p>
      <w:pPr>
        <w:pStyle w:val="ListNumber"/>
      </w:pPr>
      <w:r>
        <w:t>Reicht die Klausel “work made for hire” für Softwaremodule eines independent contractor unter US-Recht aus?</w:t>
      </w:r>
    </w:p>
    <w:p>
      <w:pPr>
        <w:pStyle w:val="ListNumber"/>
      </w:pPr>
      <w:r>
        <w:t>Falls nein: Welche Wirkung hat eine nachträgliche present assignment clause und braucht es consideration?</w:t>
      </w:r>
    </w:p>
    <w:p>
      <w:pPr>
        <w:pStyle w:val="ListNumber"/>
      </w:pPr>
      <w:r>
        <w:t>Können wir die US-Contractor-Beiträge für eine US Copyright Registration sauber depositen, ohne Trade Secrets übermäßig offen zu legen?</w:t>
      </w:r>
    </w:p>
    <w:p>
      <w:pPr>
        <w:pStyle w:val="ListNumber"/>
      </w:pPr>
      <w:r>
        <w:t>Welche Claims drohen bei Behauptung “licensed, not assigned”, wenn der Contractor über Monate in Jira/Git gearbeitet und Rechnungen gestellt hat?</w:t>
      </w:r>
    </w:p>
    <w:p>
      <w:pPr>
        <w:pStyle w:val="Heading2"/>
      </w:pPr>
      <w:r>
        <w:rPr>
          <w:rFonts w:ascii="Times New Roman" w:hAnsi="Times New Roman"/>
        </w:rPr>
        <w:t>Fragen Softwarepatent / § 101</w:t>
      </w:r>
    </w:p>
    <w:p>
      <w:pPr>
        <w:pStyle w:val="ListNumber"/>
      </w:pPr>
      <w:r>
        <w:t>Ist der Matching-Algorithmus patentfähig oder fällt er als abstrakte Idee durch?</w:t>
      </w:r>
    </w:p>
    <w:p>
      <w:pPr>
        <w:pStyle w:val="ListNumber"/>
      </w:pPr>
      <w:r>
        <w:t>Gibt es technische Verbesserungen an Routing, Ladefenstern, Fahrzeugsteuerung oder Netzwerkkommunikation, die US/EPO-Argumente tragen?</w:t>
      </w:r>
    </w:p>
    <w:p>
      <w:pPr>
        <w:pStyle w:val="ListNumber"/>
      </w:pPr>
      <w:r>
        <w:t>Welche prior art search sollte vor Investor-DD laufen?</w:t>
      </w:r>
    </w:p>
    <w:p>
      <w:pPr>
        <w:pStyle w:val="Heading2"/>
      </w:pPr>
      <w:r>
        <w:rPr>
          <w:rFonts w:ascii="Times New Roman" w:hAnsi="Times New Roman"/>
        </w:rPr>
        <w:t>Fragen Trade Secrets</w:t>
      </w:r>
    </w:p>
    <w:p>
      <w:pPr>
        <w:pStyle w:val="ListNumber"/>
      </w:pPr>
      <w:r>
        <w:t>Welche Maßnahmen braucht Codeforst, um Source Code, Optimizer-Parameter und Kundendaten als Geschäftsgeheimnisse zu schützen?</w:t>
      </w:r>
    </w:p>
    <w:p>
      <w:pPr>
        <w:pStyle w:val="ListNumber"/>
      </w:pPr>
      <w:r>
        <w:t>Welche Sofortmaßnahmen gegen Contractor/Ex-Mitarbeiter sind sinnvoll, falls ein Repository-Abfluss vermutet wird?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