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Number"/>
      </w:pPr>
      <w:r>
        <w:t>Die Beklagte wird verurteilt, an die Klägerin 1197 EUR nebst Zinsen in Höhe von neun Prozentpunkten über dem Basiszinssatz seit dem 6. März 2026 zu zahlen, Zug um Zug gegen Rückgabe der Datenbrille Solis Vision X mit der Geräteseriennummer LO-SVX-2025-44712.</w:t>
      </w:r>
    </w:p>
    <w:p>
      <w:pPr>
        <w:pStyle w:val="ListNumber"/>
      </w:pPr>
      <w:r>
        <w:t>Die Beklagte wird verurteilt, an die Klägerin weitere 380 EUR nebst Zinsen in Höhe von neun Prozentpunkten über dem Basiszinssatz seit dem 27. Februar 2026 zu zahlen.</w:t>
      </w:r>
    </w:p>
    <w:p>
      <w:pPr>
        <w:pStyle w:val="ListNumber"/>
      </w:pPr>
      <w:r>
        <w:t>Es wird festgestellt, dass sich die Beklagte mit der Annahme der Datenbrille Solis Vision X seit dem 6. März 2026 in Annahmeverzug befindet.</w:t>
      </w:r>
    </w:p>
    <w:p>
      <w:pPr>
        <w:pStyle w:val="ListNumber"/>
      </w:pPr>
      <w:r>
        <w:t>Die Beklagte trägt die Kosten des Rechtsstreits.</w:t>
      </w:r>
    </w:p>
    <w:p>
      <w:pPr>
        <w:pStyle w:val="ListNumber"/>
      </w:pPr>
      <w:r>
        <w:t>Das Urteil ist vorläufig vollstreckbar. Die Beklagte darf die Vollstreckung durch Sicherheitsleistung in Höhe von 110 Prozent des aus dem Urteil vollstreckbaren Betrages abwenden, wenn nicht die Klägerin vor der Vollstreckung Sicherheit in gleicher Höhe leistet.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