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Norm-Schnellzugriff (gekürzte Schlüsselnormen)</w:t>
      </w:r>
    </w:p>
    <w:p>
      <w:pPr>
        <w:pStyle w:val="Heading2"/>
      </w:pPr>
      <w:r>
        <w:rPr>
          <w:rFonts w:ascii="Times New Roman" w:hAnsi="Times New Roman"/>
        </w:rPr>
        <w:t>CISG</w:t>
      </w:r>
    </w:p>
    <w:p>
      <w:pPr>
        <w:pStyle w:val="Heading3"/>
      </w:pPr>
      <w:r>
        <w:rPr>
          <w:rFonts w:ascii="Times New Roman" w:hAnsi="Times New Roman"/>
        </w:rPr>
        <w:t>Artikel 1 Anwendungsbereich</w:t>
      </w:r>
    </w:p>
    <w:p>
      <w:pPr>
        <w:jc w:val="left"/>
      </w:pPr>
      <w:r>
        <w:t>(1) Dieses Übereinkommen ist auf Kaufverträge über Waren zwischen Parteien anzuwenden, die ihre Niederlassung in verschiedenen Staaten haben,</w:t>
      </w:r>
    </w:p>
    <w:p>
      <w:pPr>
        <w:jc w:val="left"/>
      </w:pPr>
      <w:r>
        <w:t>a) wenn diese Staaten Vertragsstaaten sind oder</w:t>
      </w:r>
    </w:p>
    <w:p>
      <w:pPr>
        <w:jc w:val="left"/>
      </w:pPr>
      <w:r>
        <w:t>b) wenn die Regeln des internationalen Privatrechts zur Anwendung des Rechts eines Vertragsstaats führen.</w:t>
      </w:r>
    </w:p>
    <w:p>
      <w:pPr>
        <w:pStyle w:val="Heading3"/>
      </w:pPr>
      <w:r>
        <w:rPr>
          <w:rFonts w:ascii="Times New Roman" w:hAnsi="Times New Roman"/>
        </w:rPr>
        <w:t>Artikel 6 Ausschluss</w:t>
      </w:r>
    </w:p>
    <w:p>
      <w:pPr>
        <w:jc w:val="left"/>
      </w:pPr>
      <w:r>
        <w:t>Die Parteien können die Anwendung dieses Übereinkommens ausschliessen.</w:t>
      </w:r>
    </w:p>
    <w:p>
      <w:pPr>
        <w:pStyle w:val="Heading3"/>
      </w:pPr>
      <w:r>
        <w:rPr>
          <w:rFonts w:ascii="Times New Roman" w:hAnsi="Times New Roman"/>
        </w:rPr>
        <w:t>Artikel 25 Wesentliche Vertragsverletzung</w:t>
      </w:r>
    </w:p>
    <w:p>
      <w:pPr>
        <w:jc w:val="left"/>
      </w:pPr>
      <w:r>
        <w:t>Eine von einer Partei begangene Vertragsverletzung ist wesentlich, wenn sie für die andere Partei einen solchen Nachteil zur Folge hat, dass ihr im Wesentlichen entgeht, was sie nach dem Vertrag hätte erwarten dürfen, es sei denn, dass die vertragsbrüchige Partei diese Folge nicht vorausgesehen hat und eine vernünftige Person der gleichen Art diese Folge unter den gleichen Umständen auch nicht vorausgesehen hätte.</w:t>
      </w:r>
    </w:p>
    <w:p>
      <w:pPr>
        <w:pStyle w:val="Heading3"/>
      </w:pPr>
      <w:r>
        <w:rPr>
          <w:rFonts w:ascii="Times New Roman" w:hAnsi="Times New Roman"/>
        </w:rPr>
        <w:t>Artikel 35 Vertragsmaessigkeit</w:t>
      </w:r>
    </w:p>
    <w:p>
      <w:pPr>
        <w:jc w:val="left"/>
      </w:pPr>
      <w:r>
        <w:t>(1) Der Verkäufer hat Waren zu liefern, die in Menge, Qualität und Art sowie hinsichtlich Verpackung oder Behältnis den Anforderungen des Vertrages entsprechen.</w:t>
      </w:r>
    </w:p>
    <w:p>
      <w:pPr>
        <w:jc w:val="left"/>
      </w:pPr>
      <w:r>
        <w:t>(2) Soweit die Parteien nichts anderes vereinbart haben, entsprechen die Waren dem Vertrag nur,</w:t>
      </w:r>
    </w:p>
    <w:p>
      <w:pPr>
        <w:jc w:val="left"/>
      </w:pPr>
      <w:r>
        <w:t>a) wenn sie sich für die Zwecke eignen, für die Waren der gleichen Art gewöhnlich gebraucht werden;</w:t>
      </w:r>
    </w:p>
    <w:p>
      <w:pPr>
        <w:jc w:val="left"/>
      </w:pPr>
      <w:r>
        <w:t>b) wenn sie sich für einen bestimmten Zweck eignen, der dem Verkäufer bei Vertragsabschluss ausdrücklich oder auf andere Weise zur Kenntnis gebracht wurde;</w:t>
      </w:r>
    </w:p>
    <w:p>
      <w:pPr>
        <w:jc w:val="left"/>
      </w:pPr>
      <w:r>
        <w:t>c) wenn sie die Eigenschaften einer Ware besitzen, die der Verkäufer dem Käufer als Probe oder Muster vorgelegt hat;</w:t>
      </w:r>
    </w:p>
    <w:p>
      <w:pPr>
        <w:jc w:val="left"/>
      </w:pPr>
      <w:r>
        <w:t>d) wenn sie in der für Waren dieser Art üblichen oder, falls es eine solche Weise nicht gibt, in einer für die Erhaltung und den Schutz der Ware angemessenen Weise verpackt sind.</w:t>
      </w:r>
    </w:p>
    <w:p>
      <w:pPr>
        <w:pStyle w:val="Heading3"/>
      </w:pPr>
      <w:r>
        <w:rPr>
          <w:rFonts w:ascii="Times New Roman" w:hAnsi="Times New Roman"/>
        </w:rPr>
        <w:t>Artikel 36 Zeitpunkt der Vertragsmaessigkeit</w:t>
      </w:r>
    </w:p>
    <w:p>
      <w:pPr>
        <w:jc w:val="left"/>
      </w:pPr>
      <w:r>
        <w:t>(1) Der Verkäufer haftet für jede Vertragswidrigkeit, die im Zeitpunkt des Übergangs der Gefahr auf den Käufer besteht, auch wenn die Vertragswidrigkeit erst nach diesem Zeitpunkt offenbar wird.</w:t>
      </w:r>
    </w:p>
    <w:p>
      <w:pPr>
        <w:pStyle w:val="Heading3"/>
      </w:pPr>
      <w:r>
        <w:rPr>
          <w:rFonts w:ascii="Times New Roman" w:hAnsi="Times New Roman"/>
        </w:rPr>
        <w:t>Artikel 67 Gefahruebergang bei Versendungskauf</w:t>
      </w:r>
    </w:p>
    <w:p>
      <w:pPr>
        <w:jc w:val="left"/>
      </w:pPr>
      <w:r>
        <w:t>(1) Erfordert der Kaufvertrag eine Beförderung der Ware und ist der Verkäufer nicht verpflichtet, sie an einem bestimmten Ort zu übergeben, so geht die Gefahr auf den Käufer über, sobald die Ware gemäß dem Kaufvertrag dem ersten Befoerderer zur Übermittlung an den Käufer übergeben wird.</w:t>
      </w:r>
    </w:p>
    <w:p>
      <w:pPr>
        <w:pStyle w:val="Heading2"/>
      </w:pPr>
      <w:r>
        <w:rPr>
          <w:rFonts w:ascii="Times New Roman" w:hAnsi="Times New Roman"/>
        </w:rPr>
        <w:t>DSGVO</w:t>
      </w:r>
    </w:p>
    <w:p>
      <w:pPr>
        <w:pStyle w:val="Heading3"/>
      </w:pPr>
      <w:r>
        <w:rPr>
          <w:rFonts w:ascii="Times New Roman" w:hAnsi="Times New Roman"/>
        </w:rPr>
        <w:t>Artikel 3 Räumlicher Anwendungsbereich</w:t>
      </w:r>
    </w:p>
    <w:p>
      <w:pPr>
        <w:jc w:val="left"/>
      </w:pPr>
      <w:r>
        <w:t>(2) Diese Verordnung findet Anwendung auf die Verarbeitung personenbezogener Daten von betroffenen Personen, die sich in der Union befinden, durch einen nicht in der Union niedergelassenen Verantwortlichen, wenn die Datenverarbeitung im Zusammenhang damit steht:</w:t>
      </w:r>
    </w:p>
    <w:p>
      <w:pPr>
        <w:jc w:val="left"/>
      </w:pPr>
      <w:r>
        <w:t>a) betroffenen Personen in der Union Waren oder Dienstleistungen anzubieten.</w:t>
      </w:r>
    </w:p>
    <w:p>
      <w:pPr>
        <w:pStyle w:val="Heading3"/>
      </w:pPr>
      <w:r>
        <w:rPr>
          <w:rFonts w:ascii="Times New Roman" w:hAnsi="Times New Roman"/>
        </w:rPr>
        <w:t>Artikel 6 Rechtmaessigkeit der Verarbeitung</w:t>
      </w:r>
    </w:p>
    <w:p>
      <w:pPr>
        <w:jc w:val="left"/>
      </w:pPr>
      <w:r>
        <w:t>(1) Die Verarbeitung ist nur rechtmaessig, wenn mindestens eine der nachstehenden Bedingungen erfüllt ist [...].</w:t>
      </w:r>
    </w:p>
    <w:p>
      <w:pPr>
        <w:pStyle w:val="Heading3"/>
      </w:pPr>
      <w:r>
        <w:rPr>
          <w:rFonts w:ascii="Times New Roman" w:hAnsi="Times New Roman"/>
        </w:rPr>
        <w:t>Artikel 9 Besondere Kategorien</w:t>
      </w:r>
    </w:p>
    <w:p>
      <w:pPr>
        <w:jc w:val="left"/>
      </w:pPr>
      <w:r>
        <w:t>(1) Die Verarbeitung biometrischer Daten zur eindeutigen Identifizierung einer natürlichen Person, [...] ist untersagt.</w:t>
      </w:r>
    </w:p>
    <w:p>
      <w:pPr>
        <w:pStyle w:val="Heading2"/>
      </w:pPr>
      <w:r>
        <w:rPr>
          <w:rFonts w:ascii="Times New Roman" w:hAnsi="Times New Roman"/>
        </w:rPr>
        <w:t>Rom-I</w:t>
      </w:r>
    </w:p>
    <w:p>
      <w:pPr>
        <w:pStyle w:val="Heading3"/>
      </w:pPr>
      <w:r>
        <w:rPr>
          <w:rFonts w:ascii="Times New Roman" w:hAnsi="Times New Roman"/>
        </w:rPr>
        <w:t>Artikel 9 Eingriffsnormen</w:t>
      </w:r>
    </w:p>
    <w:p>
      <w:pPr>
        <w:jc w:val="left"/>
      </w:pPr>
      <w:r>
        <w:t>(1) Eine Eingriffsnorm ist eine zwingende Vorschrift, deren Einhaltung von einem Staat als so entscheidend für die Wahrung seines öffentlichen Interesses angesehen wird, dass sie ohne Rücksicht auf das nach dieser Verordnung anzuwendende Recht auf alle Sachverhalte anzuwenden ist, die in ihren Anwendungsbereich fallen.</w:t>
      </w:r>
    </w:p>
    <w:p>
      <w:pPr>
        <w:pStyle w:val="Heading2"/>
      </w:pPr>
      <w:r>
        <w:rPr>
          <w:rFonts w:ascii="Times New Roman" w:hAnsi="Times New Roman"/>
        </w:rPr>
        <w:t>EuGVVO (Brussel Ia)</w:t>
      </w:r>
    </w:p>
    <w:p>
      <w:pPr>
        <w:pStyle w:val="Heading3"/>
      </w:pPr>
      <w:r>
        <w:rPr>
          <w:rFonts w:ascii="Times New Roman" w:hAnsi="Times New Roman"/>
        </w:rPr>
        <w:t>Artikel 7 Nummer 1</w:t>
      </w:r>
    </w:p>
    <w:p>
      <w:pPr>
        <w:jc w:val="left"/>
      </w:pPr>
      <w:r>
        <w:t>Eine Person, die ihren Wohnsitz im Hoheitsgebiet eines Mitgliedstaats hat, kann in einem anderen Mitgliedstaat verklagt werden:</w:t>
      </w:r>
    </w:p>
    <w:p>
      <w:pPr>
        <w:pStyle w:val="ListNumber"/>
      </w:pPr>
      <w:r>
        <w:t>a) wenn ein Vertrag oder Ansprüche aus einem Vertrag den Gegenstand des Verfahrens bilden, vor dem Gericht des Ortes, an dem die Verpflichtung erfüllt worden ist oder zu erfüllen wäre;</w:t>
      </w:r>
    </w:p>
    <w:p>
      <w:pPr>
        <w:jc w:val="left"/>
      </w:pPr>
      <w:r>
        <w:t>b) im Sinne dieser Vorschrift - und sofern nichts anderes vereinbart worden ist - ist der Erfüllungsort der Verpflichtung</w:t>
      </w:r>
    </w:p>
    <w:p>
      <w:pPr>
        <w:pStyle w:val="ListBullet"/>
      </w:pPr>
      <w:r>
        <w:t>für den Verkauf beweglicher Sachen der Ort in einem Mitgliedstaat, an dem sie nach dem Vertrag geliefert worden sind oder hätten geliefert werden müssen.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