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02.06.2026</w:t>
      </w:r>
    </w:p>
    <w:p>
      <w:pPr>
        <w:jc w:val="left"/>
      </w:pPr>
      <w:r>
        <w:t>Luise Falkenberg, 34, wohnt in Falkensee und arbeitet seit April 2026 allein als Designerin, Workshop-Leiterin und Erstellerin digitaler Vorlagen. Sie hat noch keine klare Entscheidung getroffen, ob sie als Freiberuflerin beim Finanzamt auftreten oder zusätzlich ein Gewerbe anmelden muss. Der erste größere Auftrag der Nordstern Markenraum GmbH läuft bereits; die Kundin verlangt wöchentliche Anwesenheit im Berliner Büro, Nutzung von Slack/Jira und eine Klausel, nach der sämtliche Arbeitsergebnisse einschließlich nicht genutzter Entwürfe vollständig übertragen werden.</w:t>
      </w:r>
    </w:p>
    <w:p>
      <w:pPr>
        <w:jc w:val="left"/>
      </w:pPr>
      <w:r>
        <w:t>Akut: Rechnung über 6.800 EUR netto/ohne USt ist noch nicht bezahlt; Luise hat auf der Rechnung geschrieben "umsatzsteuerfrei wegen Kleinunternehmerin", ist aber unsicher, ob das schon gilt. ELSTER-Fragebogen liegt als Entwurf vor. KSK-Fragebogen begonnen. DRV-Statusfeststellung wurde von der Kundin angesprochen, aber nicht beantragt. Webseite nutzt Kontaktformular, Newsletter-Tool und KI-Bildgenerator.</w:t>
      </w:r>
    </w:p>
    <w:p>
      <w:pPr>
        <w:jc w:val="left"/>
      </w:pPr>
      <w:r>
        <w:t>Ziel: Ordnung, keine Panik, keine unnötigen Selbstbelastungen gegenüber Behörden, aber saubere Anmeldung, Rechnungskorrektur, Vertragsnachverhandlung und Liquiditätsplan.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