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Tätigkeitsabgrenzung</w:t>
      </w:r>
    </w:p>
    <w:p>
      <w:pPr>
        <w:jc w:val="left"/>
      </w:pPr>
      <w:r>
        <w:t>Luise beschreibt ihre Tätigkeit selbst als "visuelles Denken für Kanzleien, Stiftungen und Tech-Teams". Sie erstellt Logos, Layoutsysteme, Pitchdecks, Workshop-Material und digitale Vorlagen. Teilweise verkauft sie standardisierte Notion-/PowerPoint-Templates über eine Plattform. Das Finanzamt könnte Designleistungen eher freiberuflich einordnen, der Template-Shop und wiederholte standardisierte Verkäufe können aber als gewerblicher Anteil erscheinen.</w:t>
      </w:r>
    </w:p>
    <w:p>
      <w:pPr>
        <w:jc w:val="left"/>
      </w:pPr>
      <w:r>
        <w:t>Prüfbedarf: getrennte Tätigkeitsbeschreibung, getrennte Einnahmenlisten, klare Rechnungstexte und Entscheidung, ob eine Gewerbeanmeldung vorsorglich für den Template-Shop sinnvoll ist.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