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Versicherungen und Notfallmappe</w:t>
      </w:r>
    </w:p>
    <w:p>
      <w:pPr>
        <w:jc w:val="left"/>
      </w:pPr>
      <w:r>
        <w:t>Vorhanden: private Haftpflicht, gesetzliche Krankenversicherung freiwillig, keine Berufshaftpflicht, keine Cyberversicherung, kein Krankentagegeld. Passwortmanager vorhanden, aber kein Notfallkontakt. Kundendaten liegen in Cloud-Ordnern ohne klare Archivstruktur.</w:t>
      </w:r>
    </w:p>
    <w:p>
      <w:pPr>
        <w:jc w:val="left"/>
      </w:pPr>
      <w:r>
        <w:t>Nächster Schritt: Deckungsbedarf nach Tätigkeit prüfen, Notfallmappe erstellen, Steuer-/Versicherungsrücklagen bilden, Kundendaten ordnen.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