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und Fristsache</w:t>
      </w:r>
    </w:p>
    <w:p>
      <w:pPr>
        <w:jc w:val="left"/>
      </w:pPr>
      <w:r>
        <w:t>Kanzlei Ahlers und Brinkmann, Fachanwälte für Sozialrecht, Oldenburg</w:t>
      </w:r>
    </w:p>
    <w:p>
      <w:pPr>
        <w:jc w:val="left"/>
      </w:pPr>
      <w:r>
        <w:t>Bearbeiter: Rechtsanwalt Joost Ahlers</w:t>
      </w:r>
    </w:p>
    <w:p>
      <w:pPr>
        <w:jc w:val="left"/>
      </w:pPr>
      <w:r>
        <w:t>Aktenzeichen intern: 26-06-KR-1187</w:t>
      </w:r>
    </w:p>
    <w:p>
      <w:pPr>
        <w:jc w:val="left"/>
      </w:pPr>
      <w:r>
        <w:t>Aktenstand: 29.06.2026</w:t>
      </w:r>
    </w:p>
    <w:p>
      <w:pPr>
        <w:pStyle w:val="Heading2"/>
      </w:pPr>
      <w:r>
        <w:rPr>
          <w:rFonts w:ascii="Times New Roman" w:hAnsi="Times New Roman"/>
        </w:rPr>
        <w:t>Beteiligte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Rolle</w:t>
            </w:r>
          </w:p>
        </w:tc>
        <w:tc>
          <w:tcPr>
            <w:tcW w:type="dxa" w:w="3024"/>
          </w:tcPr>
          <w:p>
            <w:r>
              <w:rPr>
                <w:rFonts w:ascii="Times New Roman" w:hAnsi="Times New Roman"/>
                <w:b/>
                <w:sz w:val="20"/>
              </w:rPr>
              <w:t>Name und Anschrift</w:t>
            </w:r>
          </w:p>
        </w:tc>
        <w:tc>
          <w:tcPr>
            <w:tcW w:type="dxa" w:w="3024"/>
          </w:tcPr>
          <w:p>
            <w:r>
              <w:rPr>
                <w:rFonts w:ascii="Times New Roman" w:hAnsi="Times New Roman"/>
                <w:b/>
                <w:sz w:val="20"/>
              </w:rPr>
              <w:t>Hinweise</w:t>
            </w:r>
          </w:p>
        </w:tc>
      </w:tr>
      <w:tr>
        <w:tc>
          <w:tcPr>
            <w:tcW w:type="dxa" w:w="3024"/>
          </w:tcPr>
          <w:p>
            <w:r>
              <w:rPr>
                <w:rFonts w:ascii="Times New Roman" w:hAnsi="Times New Roman"/>
                <w:sz w:val="20"/>
              </w:rPr>
              <w:t>Versicherter</w:t>
            </w:r>
          </w:p>
        </w:tc>
        <w:tc>
          <w:tcPr>
            <w:tcW w:type="dxa" w:w="3024"/>
          </w:tcPr>
          <w:p>
            <w:r>
              <w:rPr>
                <w:rFonts w:ascii="Times New Roman" w:hAnsi="Times New Roman"/>
                <w:sz w:val="20"/>
              </w:rPr>
              <w:t>Heinz Körner, geboren 14.03.1948, Theaterwall 62, 26122 Oldenburg</w:t>
            </w:r>
          </w:p>
        </w:tc>
        <w:tc>
          <w:tcPr>
            <w:tcW w:type="dxa" w:w="3024"/>
          </w:tcPr>
          <w:p>
            <w:r>
              <w:rPr>
                <w:rFonts w:ascii="Times New Roman" w:hAnsi="Times New Roman"/>
                <w:sz w:val="20"/>
              </w:rPr>
              <w:t>Witwer, alleinlebend, Pflegegrad 2 seit 2024</w:t>
            </w:r>
          </w:p>
        </w:tc>
      </w:tr>
      <w:tr>
        <w:tc>
          <w:tcPr>
            <w:tcW w:type="dxa" w:w="3024"/>
          </w:tcPr>
          <w:p>
            <w:r>
              <w:rPr>
                <w:rFonts w:ascii="Times New Roman" w:hAnsi="Times New Roman"/>
                <w:sz w:val="20"/>
              </w:rPr>
              <w:t>Tochter</w:t>
            </w:r>
          </w:p>
        </w:tc>
        <w:tc>
          <w:tcPr>
            <w:tcW w:type="dxa" w:w="3024"/>
          </w:tcPr>
          <w:p>
            <w:r>
              <w:rPr>
                <w:rFonts w:ascii="Times New Roman" w:hAnsi="Times New Roman"/>
                <w:sz w:val="20"/>
              </w:rPr>
              <w:t>Dr. Maren Körner, Haarenufer 17, 26122 Oldenburg</w:t>
            </w:r>
          </w:p>
        </w:tc>
        <w:tc>
          <w:tcPr>
            <w:tcW w:type="dxa" w:w="3024"/>
          </w:tcPr>
          <w:p>
            <w:r>
              <w:rPr>
                <w:rFonts w:ascii="Times New Roman" w:hAnsi="Times New Roman"/>
                <w:sz w:val="20"/>
              </w:rPr>
              <w:t>kümmert sich um Einkäufe und Arzttermine, keine gesetzliche Betreuung</w:t>
            </w:r>
          </w:p>
        </w:tc>
      </w:tr>
      <w:tr>
        <w:tc>
          <w:tcPr>
            <w:tcW w:type="dxa" w:w="3024"/>
          </w:tcPr>
          <w:p>
            <w:r>
              <w:rPr>
                <w:rFonts w:ascii="Times New Roman" w:hAnsi="Times New Roman"/>
                <w:sz w:val="20"/>
              </w:rPr>
              <w:t>Krankenkasse</w:t>
            </w:r>
          </w:p>
        </w:tc>
        <w:tc>
          <w:tcPr>
            <w:tcW w:type="dxa" w:w="3024"/>
          </w:tcPr>
          <w:p>
            <w:r>
              <w:rPr>
                <w:rFonts w:ascii="Times New Roman" w:hAnsi="Times New Roman"/>
                <w:sz w:val="20"/>
              </w:rPr>
              <w:t>Weser-Ems Gesundheitskasse, Leistungszentrum Hilfsmittel, Stau 35, 26122 Oldenburg</w:t>
            </w:r>
          </w:p>
        </w:tc>
        <w:tc>
          <w:tcPr>
            <w:tcW w:type="dxa" w:w="3024"/>
          </w:tcPr>
          <w:p>
            <w:r>
              <w:rPr>
                <w:rFonts w:ascii="Times New Roman" w:hAnsi="Times New Roman"/>
                <w:sz w:val="20"/>
              </w:rPr>
              <w:t>Versichertennummer WEK-418-77-920</w:t>
            </w:r>
          </w:p>
        </w:tc>
      </w:tr>
      <w:tr>
        <w:tc>
          <w:tcPr>
            <w:tcW w:type="dxa" w:w="3024"/>
          </w:tcPr>
          <w:p>
            <w:r>
              <w:rPr>
                <w:rFonts w:ascii="Times New Roman" w:hAnsi="Times New Roman"/>
                <w:sz w:val="20"/>
              </w:rPr>
              <w:t>Medizinischer Dienst</w:t>
            </w:r>
          </w:p>
        </w:tc>
        <w:tc>
          <w:tcPr>
            <w:tcW w:type="dxa" w:w="3024"/>
          </w:tcPr>
          <w:p>
            <w:r>
              <w:rPr>
                <w:rFonts w:ascii="Times New Roman" w:hAnsi="Times New Roman"/>
                <w:sz w:val="20"/>
              </w:rPr>
              <w:t>MD Niedersachsen, Beratungszentrum Oldenburg</w:t>
            </w:r>
          </w:p>
        </w:tc>
        <w:tc>
          <w:tcPr>
            <w:tcW w:type="dxa" w:w="3024"/>
          </w:tcPr>
          <w:p>
            <w:r>
              <w:rPr>
                <w:rFonts w:ascii="Times New Roman" w:hAnsi="Times New Roman"/>
                <w:sz w:val="20"/>
              </w:rPr>
              <w:t>Aktenstellungnahme vom 05.06.2026</w:t>
            </w:r>
          </w:p>
        </w:tc>
      </w:tr>
      <w:tr>
        <w:tc>
          <w:tcPr>
            <w:tcW w:type="dxa" w:w="3024"/>
          </w:tcPr>
          <w:p>
            <w:r>
              <w:rPr>
                <w:rFonts w:ascii="Times New Roman" w:hAnsi="Times New Roman"/>
                <w:sz w:val="20"/>
              </w:rPr>
              <w:t>Sanitätshaus</w:t>
            </w:r>
          </w:p>
        </w:tc>
        <w:tc>
          <w:tcPr>
            <w:tcW w:type="dxa" w:w="3024"/>
          </w:tcPr>
          <w:p>
            <w:r>
              <w:rPr>
                <w:rFonts w:ascii="Times New Roman" w:hAnsi="Times New Roman"/>
                <w:sz w:val="20"/>
              </w:rPr>
              <w:t>RehaTechnik Albrecht GmbH, Donnerschweer Straße 188, Oldenburg</w:t>
            </w:r>
          </w:p>
        </w:tc>
        <w:tc>
          <w:tcPr>
            <w:tcW w:type="dxa" w:w="3024"/>
          </w:tcPr>
          <w:p>
            <w:r>
              <w:rPr>
                <w:rFonts w:ascii="Times New Roman" w:hAnsi="Times New Roman"/>
                <w:sz w:val="20"/>
              </w:rPr>
              <w:t>Kostenvoranschlag Elektrorollstuhl vom 20.05.2026</w:t>
            </w:r>
          </w:p>
        </w:tc>
      </w:tr>
    </w:tbl>
    <w:p>
      <w:pPr>
        <w:pStyle w:val="Heading2"/>
      </w:pPr>
      <w:r>
        <w:rPr>
          <w:rFonts w:ascii="Times New Roman" w:hAnsi="Times New Roman"/>
        </w:rPr>
        <w:t>Anlass des Mandats</w:t>
      </w:r>
    </w:p>
    <w:p>
      <w:pPr>
        <w:jc w:val="left"/>
      </w:pPr>
      <w:r>
        <w:t>Heinz Körner erscheint am 29.06.2026 mit seiner Tochter. Er legt den Widerspruchsbescheid der Krankenkasse vom 24.06.2026 vor. Der Bescheid wurde am 26.06.2026 in den Hausbriefkasten eingelegt. Er hat den Widerspruch am 20.06.2026 selbst geschrieben, weil er sich zu diesem Zeitpunkt keinen Anwalt leisten wollte. Er bittet nun um Prüfung, ob Klage erhoben und zugleich ein Eilantrag gestellt werden soll.</w:t>
      </w:r>
    </w:p>
    <w:p>
      <w:pPr>
        <w:pStyle w:val="Heading2"/>
      </w:pPr>
      <w:r>
        <w:rPr>
          <w:rFonts w:ascii="Times New Roman" w:hAnsi="Times New Roman"/>
        </w:rPr>
        <w:t>Fristen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Vorgang</w:t>
            </w:r>
          </w:p>
        </w:tc>
        <w:tc>
          <w:tcPr>
            <w:tcW w:type="dxa" w:w="3024"/>
          </w:tcPr>
          <w:p>
            <w:r>
              <w:rPr>
                <w:rFonts w:ascii="Times New Roman" w:hAnsi="Times New Roman"/>
                <w:b/>
                <w:sz w:val="20"/>
              </w:rPr>
              <w:t>Datum</w:t>
            </w:r>
          </w:p>
        </w:tc>
        <w:tc>
          <w:tcPr>
            <w:tcW w:type="dxa" w:w="3024"/>
          </w:tcPr>
          <w:p>
            <w:r>
              <w:rPr>
                <w:rFonts w:ascii="Times New Roman" w:hAnsi="Times New Roman"/>
                <w:b/>
                <w:sz w:val="20"/>
              </w:rPr>
              <w:t>Frist</w:t>
            </w:r>
          </w:p>
        </w:tc>
      </w:tr>
      <w:tr>
        <w:tc>
          <w:tcPr>
            <w:tcW w:type="dxa" w:w="3024"/>
          </w:tcPr>
          <w:p>
            <w:r>
              <w:rPr>
                <w:rFonts w:ascii="Times New Roman" w:hAnsi="Times New Roman"/>
                <w:sz w:val="20"/>
              </w:rPr>
              <w:t>Ausgangsbescheid</w:t>
            </w:r>
          </w:p>
        </w:tc>
        <w:tc>
          <w:tcPr>
            <w:tcW w:type="dxa" w:w="3024"/>
          </w:tcPr>
          <w:p>
            <w:r>
              <w:rPr>
                <w:rFonts w:ascii="Times New Roman" w:hAnsi="Times New Roman"/>
                <w:sz w:val="20"/>
              </w:rPr>
              <w:t>10.06.2026</w:t>
            </w:r>
          </w:p>
        </w:tc>
        <w:tc>
          <w:tcPr>
            <w:tcW w:type="dxa" w:w="3024"/>
          </w:tcPr>
          <w:p>
            <w:r>
              <w:rPr>
                <w:rFonts w:ascii="Times New Roman" w:hAnsi="Times New Roman"/>
                <w:sz w:val="20"/>
              </w:rPr>
              <w:t>Widerspruch eingelegt am 20.06.2026</w:t>
            </w:r>
          </w:p>
        </w:tc>
      </w:tr>
      <w:tr>
        <w:tc>
          <w:tcPr>
            <w:tcW w:type="dxa" w:w="3024"/>
          </w:tcPr>
          <w:p>
            <w:r>
              <w:rPr>
                <w:rFonts w:ascii="Times New Roman" w:hAnsi="Times New Roman"/>
                <w:sz w:val="20"/>
              </w:rPr>
              <w:t>Widerspruchsbescheid</w:t>
            </w:r>
          </w:p>
        </w:tc>
        <w:tc>
          <w:tcPr>
            <w:tcW w:type="dxa" w:w="3024"/>
          </w:tcPr>
          <w:p>
            <w:r>
              <w:rPr>
                <w:rFonts w:ascii="Times New Roman" w:hAnsi="Times New Roman"/>
                <w:sz w:val="20"/>
              </w:rPr>
              <w:t>24.06.2026</w:t>
            </w:r>
          </w:p>
        </w:tc>
        <w:tc>
          <w:tcPr>
            <w:tcW w:type="dxa" w:w="3024"/>
          </w:tcPr>
          <w:p>
            <w:r>
              <w:rPr>
                <w:rFonts w:ascii="Times New Roman" w:hAnsi="Times New Roman"/>
                <w:sz w:val="20"/>
              </w:rPr>
              <w:t>Zugang nach Umschlag: 26.06.2026</w:t>
            </w:r>
          </w:p>
        </w:tc>
      </w:tr>
      <w:tr>
        <w:tc>
          <w:tcPr>
            <w:tcW w:type="dxa" w:w="3024"/>
          </w:tcPr>
          <w:p>
            <w:r>
              <w:rPr>
                <w:rFonts w:ascii="Times New Roman" w:hAnsi="Times New Roman"/>
                <w:sz w:val="20"/>
              </w:rPr>
              <w:t>Klagefrist</w:t>
            </w:r>
          </w:p>
        </w:tc>
        <w:tc>
          <w:tcPr>
            <w:tcW w:type="dxa" w:w="3024"/>
          </w:tcPr>
          <w:p>
            <w:r>
              <w:rPr>
                <w:rFonts w:ascii="Times New Roman" w:hAnsi="Times New Roman"/>
                <w:sz w:val="20"/>
              </w:rPr>
              <w:t>Zugang 26.06.2026</w:t>
            </w:r>
          </w:p>
        </w:tc>
        <w:tc>
          <w:tcPr>
            <w:tcW w:type="dxa" w:w="3024"/>
          </w:tcPr>
          <w:p>
            <w:r>
              <w:rPr>
                <w:rFonts w:ascii="Times New Roman" w:hAnsi="Times New Roman"/>
                <w:sz w:val="20"/>
              </w:rPr>
              <w:t>Ende Montag, 27.07.2026</w:t>
            </w:r>
          </w:p>
        </w:tc>
      </w:tr>
      <w:tr>
        <w:tc>
          <w:tcPr>
            <w:tcW w:type="dxa" w:w="3024"/>
          </w:tcPr>
          <w:p>
            <w:r>
              <w:rPr>
                <w:rFonts w:ascii="Times New Roman" w:hAnsi="Times New Roman"/>
                <w:sz w:val="20"/>
              </w:rPr>
              <w:t>Wiedervorlage Kanzlei</w:t>
            </w:r>
          </w:p>
        </w:tc>
        <w:tc>
          <w:tcPr>
            <w:tcW w:type="dxa" w:w="3024"/>
          </w:tcPr>
          <w:p>
            <w:r>
              <w:rPr>
                <w:rFonts w:ascii="Times New Roman" w:hAnsi="Times New Roman"/>
                <w:sz w:val="20"/>
              </w:rPr>
              <w:t>03.07.2026</w:t>
            </w:r>
          </w:p>
        </w:tc>
        <w:tc>
          <w:tcPr>
            <w:tcW w:type="dxa" w:w="3024"/>
          </w:tcPr>
          <w:p>
            <w:r>
              <w:rPr>
                <w:rFonts w:ascii="Times New Roman" w:hAnsi="Times New Roman"/>
                <w:sz w:val="20"/>
              </w:rPr>
              <w:t>Entscheidung Klage und Eilantrag</w:t>
            </w:r>
          </w:p>
        </w:tc>
      </w:tr>
      <w:tr>
        <w:tc>
          <w:tcPr>
            <w:tcW w:type="dxa" w:w="3024"/>
          </w:tcPr>
          <w:p>
            <w:r>
              <w:rPr>
                <w:rFonts w:ascii="Times New Roman" w:hAnsi="Times New Roman"/>
                <w:sz w:val="20"/>
              </w:rPr>
              <w:t>Fristreserve</w:t>
            </w:r>
          </w:p>
        </w:tc>
        <w:tc>
          <w:tcPr>
            <w:tcW w:type="dxa" w:w="3024"/>
          </w:tcPr>
          <w:p>
            <w:r>
              <w:rPr>
                <w:rFonts w:ascii="Times New Roman" w:hAnsi="Times New Roman"/>
                <w:sz w:val="20"/>
              </w:rPr>
              <w:t>20.07.2026</w:t>
            </w:r>
          </w:p>
        </w:tc>
        <w:tc>
          <w:tcPr>
            <w:tcW w:type="dxa" w:w="3024"/>
          </w:tcPr>
          <w:p>
            <w:r>
              <w:rPr>
                <w:rFonts w:ascii="Times New Roman" w:hAnsi="Times New Roman"/>
                <w:sz w:val="20"/>
              </w:rPr>
              <w:t>Klage spätestens versandfertig</w:t>
            </w:r>
          </w:p>
        </w:tc>
      </w:tr>
    </w:tbl>
    <w:p>
      <w:pPr>
        <w:pStyle w:val="Heading2"/>
      </w:pPr>
      <w:r>
        <w:rPr>
          <w:rFonts w:ascii="Times New Roman" w:hAnsi="Times New Roman"/>
        </w:rPr>
        <w:t>Anspruchsziel</w:t>
      </w:r>
    </w:p>
    <w:p>
      <w:pPr>
        <w:jc w:val="left"/>
      </w:pPr>
      <w:r>
        <w:t>Versorgung mit einem kompakten Elektrorollstuhl für Innenräume, Hausausgang und Nahbereich. Der Kostenvoranschlag nennt den Elektrorollstuhl Permobil M1 Compact mit angepasster Sitzversorgung, Kippschutz, Beleuchtung, Bordsteinassistent und Fahrtraining. Hilfsweise soll die Krankenkasse eine gleich geeignete Versorgung bewilligen, die der Versicherte eigenständig und sicher bedienen kann.</w:t>
      </w:r>
    </w:p>
    <w:p>
      <w:pPr>
        <w:pStyle w:val="Heading2"/>
      </w:pPr>
      <w:r>
        <w:rPr>
          <w:rFonts w:ascii="Times New Roman" w:hAnsi="Times New Roman"/>
        </w:rPr>
        <w:t>Sofortbewertung</w:t>
      </w:r>
    </w:p>
    <w:p>
      <w:pPr>
        <w:jc w:val="left"/>
      </w:pPr>
      <w:r>
        <w:t>Die Klagefrist läuft. Der Widerspruchsbescheid ist frisch. Eine Klage ist ohne Fristproblem möglich.</w:t>
      </w:r>
    </w:p>
    <w:p>
      <w:pPr>
        <w:jc w:val="left"/>
      </w:pPr>
      <w:r>
        <w:t>Der Sachverhalt ist für die Klägerseite stark, wenn das Gericht davon überzeugt wird, dass der Versicherte mit Gehstock, Rollator und manuellem Rollstuhl keine sichere Mobilität im Basisausgleich erreicht. Die Kasse hat eine typische Verteidigung: Wirtschaftlichkeit, Standardversorgung, fehlende persönliche MD-Untersuchung nur als angeblich unerheblicher Verfahrenspunkt. Kritisch ist die Fahrsicherheit des Versicherten; hierzu liegt bisher nur das private Reha-Gutachten mit Fahrprobe vor.</w:t>
      </w:r>
    </w:p>
    <w:p>
      <w:pPr>
        <w:pStyle w:val="Heading2"/>
      </w:pPr>
      <w:r>
        <w:rPr>
          <w:rFonts w:ascii="Times New Roman" w:hAnsi="Times New Roman"/>
        </w:rPr>
        <w:t>Sofortaufträge</w:t>
      </w:r>
    </w:p>
    <w:p>
      <w:pPr>
        <w:pStyle w:val="ListNumber"/>
      </w:pPr>
      <w:r>
        <w:t>Klageentwurf prüfen und Anlagen nummerieren.</w:t>
      </w:r>
    </w:p>
    <w:p>
      <w:pPr>
        <w:pStyle w:val="ListNumber"/>
      </w:pPr>
      <w:r>
        <w:t>Parallel Eilantrag erwägen: aktuelle Stürze, Alleinleben, fehlende Ausgangsmobilität.</w:t>
      </w:r>
    </w:p>
    <w:p>
      <w:pPr>
        <w:pStyle w:val="ListNumber"/>
      </w:pPr>
      <w:r>
        <w:t>MD-Akte und Verwaltungsvorgang nach Paragraf 25 SGB X anfordern.</w:t>
      </w:r>
    </w:p>
    <w:p>
      <w:pPr>
        <w:pStyle w:val="ListNumber"/>
      </w:pPr>
      <w:r>
        <w:t>Facharzt um kurze Ergänzung bitten: Warum Unterarmgehstütze und Rollator nicht ausreichen.</w:t>
      </w:r>
    </w:p>
    <w:p>
      <w:pPr>
        <w:pStyle w:val="ListNumber"/>
      </w:pPr>
      <w:r>
        <w:t>Sanitätshaus um technische Stellungnahme zur Wohnungs- und Aufzugstauglichkeit bitten.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