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Facharztbericht Mobilität und Sturzrisiko</w:t>
      </w:r>
    </w:p>
    <w:p>
      <w:pPr>
        <w:jc w:val="left"/>
      </w:pPr>
      <w:r>
        <w:t>Praxis Dr. Malte Radtke, Facharzt für Orthopädie und Neurologie</w:t>
      </w:r>
    </w:p>
    <w:p>
      <w:pPr>
        <w:jc w:val="left"/>
      </w:pPr>
      <w:r>
        <w:t>Nadorster Straße 91, 26123 Oldenburg</w:t>
      </w:r>
    </w:p>
    <w:p>
      <w:pPr>
        <w:jc w:val="left"/>
      </w:pPr>
      <w:r>
        <w:t>Bericht vom 17.05.2026</w:t>
      </w:r>
    </w:p>
    <w:p>
      <w:pPr>
        <w:pStyle w:val="Heading2"/>
      </w:pPr>
      <w:r>
        <w:rPr>
          <w:rFonts w:ascii="Times New Roman" w:hAnsi="Times New Roman"/>
        </w:rPr>
        <w:t>Untersuchungsanlass</w:t>
      </w:r>
    </w:p>
    <w:p>
      <w:pPr>
        <w:jc w:val="left"/>
      </w:pPr>
      <w:r>
        <w:t>Vorstellung auf Überweisung der Hausärztin zur Beurteilung der Mobilität und Hilfsmittelversorgung. Herr Körner berichtet über zunehmende Unsicherheit beim Gehen, Angst vor dem Verlassen der Wohnung und wiederholte Stürze.</w:t>
      </w:r>
    </w:p>
    <w:p>
      <w:pPr>
        <w:pStyle w:val="Heading2"/>
      </w:pPr>
      <w:r>
        <w:rPr>
          <w:rFonts w:ascii="Times New Roman" w:hAnsi="Times New Roman"/>
        </w:rPr>
        <w:t>Klinischer Befund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Bereich</w:t>
            </w:r>
          </w:p>
        </w:tc>
        <w:tc>
          <w:tcPr>
            <w:tcW w:type="dxa" w:w="4536"/>
          </w:tcPr>
          <w:p>
            <w:r>
              <w:rPr>
                <w:rFonts w:ascii="Times New Roman" w:hAnsi="Times New Roman"/>
                <w:b/>
                <w:sz w:val="20"/>
              </w:rPr>
              <w:t>Befund</w:t>
            </w:r>
          </w:p>
        </w:tc>
      </w:tr>
      <w:tr>
        <w:tc>
          <w:tcPr>
            <w:tcW w:type="dxa" w:w="4536"/>
          </w:tcPr>
          <w:p>
            <w:r>
              <w:rPr>
                <w:rFonts w:ascii="Times New Roman" w:hAnsi="Times New Roman"/>
                <w:sz w:val="20"/>
              </w:rPr>
              <w:t>Gangbild</w:t>
            </w:r>
          </w:p>
        </w:tc>
        <w:tc>
          <w:tcPr>
            <w:tcW w:type="dxa" w:w="4536"/>
          </w:tcPr>
          <w:p>
            <w:r>
              <w:rPr>
                <w:rFonts w:ascii="Times New Roman" w:hAnsi="Times New Roman"/>
                <w:sz w:val="20"/>
              </w:rPr>
              <w:t>kleinschrittig, breitbasig, unsicher, deutliche Starthemmung</w:t>
            </w:r>
          </w:p>
        </w:tc>
      </w:tr>
      <w:tr>
        <w:tc>
          <w:tcPr>
            <w:tcW w:type="dxa" w:w="4536"/>
          </w:tcPr>
          <w:p>
            <w:r>
              <w:rPr>
                <w:rFonts w:ascii="Times New Roman" w:hAnsi="Times New Roman"/>
                <w:sz w:val="20"/>
              </w:rPr>
              <w:t>Stand</w:t>
            </w:r>
          </w:p>
        </w:tc>
        <w:tc>
          <w:tcPr>
            <w:tcW w:type="dxa" w:w="4536"/>
          </w:tcPr>
          <w:p>
            <w:r>
              <w:rPr>
                <w:rFonts w:ascii="Times New Roman" w:hAnsi="Times New Roman"/>
                <w:sz w:val="20"/>
              </w:rPr>
              <w:t>Romberg unsicher, Tandemstand nicht möglich</w:t>
            </w:r>
          </w:p>
        </w:tc>
      </w:tr>
      <w:tr>
        <w:tc>
          <w:tcPr>
            <w:tcW w:type="dxa" w:w="4536"/>
          </w:tcPr>
          <w:p>
            <w:r>
              <w:rPr>
                <w:rFonts w:ascii="Times New Roman" w:hAnsi="Times New Roman"/>
                <w:sz w:val="20"/>
              </w:rPr>
              <w:t>Gehstrecke mit Unterarmgehstütze</w:t>
            </w:r>
          </w:p>
        </w:tc>
        <w:tc>
          <w:tcPr>
            <w:tcW w:type="dxa" w:w="4536"/>
          </w:tcPr>
          <w:p>
            <w:r>
              <w:rPr>
                <w:rFonts w:ascii="Times New Roman" w:hAnsi="Times New Roman"/>
                <w:sz w:val="20"/>
              </w:rPr>
              <w:t>14 Meter im Flur, danach Abbruch wegen Schwindel und Dyspnoe</w:t>
            </w:r>
          </w:p>
        </w:tc>
      </w:tr>
      <w:tr>
        <w:tc>
          <w:tcPr>
            <w:tcW w:type="dxa" w:w="4536"/>
          </w:tcPr>
          <w:p>
            <w:r>
              <w:rPr>
                <w:rFonts w:ascii="Times New Roman" w:hAnsi="Times New Roman"/>
                <w:sz w:val="20"/>
              </w:rPr>
              <w:t>Gehstrecke mit Rollator</w:t>
            </w:r>
          </w:p>
        </w:tc>
        <w:tc>
          <w:tcPr>
            <w:tcW w:type="dxa" w:w="4536"/>
          </w:tcPr>
          <w:p>
            <w:r>
              <w:rPr>
                <w:rFonts w:ascii="Times New Roman" w:hAnsi="Times New Roman"/>
                <w:sz w:val="20"/>
              </w:rPr>
              <w:t>32 Meter auf ebener Strecke, nur unter Aufsicht, keine Bordsteinbewältigung</w:t>
            </w:r>
          </w:p>
        </w:tc>
      </w:tr>
      <w:tr>
        <w:tc>
          <w:tcPr>
            <w:tcW w:type="dxa" w:w="4536"/>
          </w:tcPr>
          <w:p>
            <w:r>
              <w:rPr>
                <w:rFonts w:ascii="Times New Roman" w:hAnsi="Times New Roman"/>
                <w:sz w:val="20"/>
              </w:rPr>
              <w:t>Treppe</w:t>
            </w:r>
          </w:p>
        </w:tc>
        <w:tc>
          <w:tcPr>
            <w:tcW w:type="dxa" w:w="4536"/>
          </w:tcPr>
          <w:p>
            <w:r>
              <w:rPr>
                <w:rFonts w:ascii="Times New Roman" w:hAnsi="Times New Roman"/>
                <w:sz w:val="20"/>
              </w:rPr>
              <w:t>nicht sicher, nur mit beidseitigem Geländer und Begleitung</w:t>
            </w:r>
          </w:p>
        </w:tc>
      </w:tr>
      <w:tr>
        <w:tc>
          <w:tcPr>
            <w:tcW w:type="dxa" w:w="4536"/>
          </w:tcPr>
          <w:p>
            <w:r>
              <w:rPr>
                <w:rFonts w:ascii="Times New Roman" w:hAnsi="Times New Roman"/>
                <w:sz w:val="20"/>
              </w:rPr>
              <w:t>Kraft</w:t>
            </w:r>
          </w:p>
        </w:tc>
        <w:tc>
          <w:tcPr>
            <w:tcW w:type="dxa" w:w="4536"/>
          </w:tcPr>
          <w:p>
            <w:r>
              <w:rPr>
                <w:rFonts w:ascii="Times New Roman" w:hAnsi="Times New Roman"/>
                <w:sz w:val="20"/>
              </w:rPr>
              <w:t>Hüftbeugung links 3 von 5, Fußheber beidseits 3 von 5</w:t>
            </w:r>
          </w:p>
        </w:tc>
      </w:tr>
      <w:tr>
        <w:tc>
          <w:tcPr>
            <w:tcW w:type="dxa" w:w="4536"/>
          </w:tcPr>
          <w:p>
            <w:r>
              <w:rPr>
                <w:rFonts w:ascii="Times New Roman" w:hAnsi="Times New Roman"/>
                <w:sz w:val="20"/>
              </w:rPr>
              <w:t>Sensibilität</w:t>
            </w:r>
          </w:p>
        </w:tc>
        <w:tc>
          <w:tcPr>
            <w:tcW w:type="dxa" w:w="4536"/>
          </w:tcPr>
          <w:p>
            <w:r>
              <w:rPr>
                <w:rFonts w:ascii="Times New Roman" w:hAnsi="Times New Roman"/>
                <w:sz w:val="20"/>
              </w:rPr>
              <w:t>herabgesetzt an beiden Füßen, Vibrationsempfinden deutlich vermindert</w:t>
            </w:r>
          </w:p>
        </w:tc>
      </w:tr>
      <w:tr>
        <w:tc>
          <w:tcPr>
            <w:tcW w:type="dxa" w:w="4536"/>
          </w:tcPr>
          <w:p>
            <w:r>
              <w:rPr>
                <w:rFonts w:ascii="Times New Roman" w:hAnsi="Times New Roman"/>
                <w:sz w:val="20"/>
              </w:rPr>
              <w:t>Schulter rechts</w:t>
            </w:r>
          </w:p>
        </w:tc>
        <w:tc>
          <w:tcPr>
            <w:tcW w:type="dxa" w:w="4536"/>
          </w:tcPr>
          <w:p>
            <w:r>
              <w:rPr>
                <w:rFonts w:ascii="Times New Roman" w:hAnsi="Times New Roman"/>
                <w:sz w:val="20"/>
              </w:rPr>
              <w:t>schmerzhaft eingeschränkte Abduktion, manueller Rollstuhlantrieb nicht realistisch</w:t>
            </w:r>
          </w:p>
        </w:tc>
      </w:tr>
      <w:tr>
        <w:tc>
          <w:tcPr>
            <w:tcW w:type="dxa" w:w="4536"/>
          </w:tcPr>
          <w:p>
            <w:r>
              <w:rPr>
                <w:rFonts w:ascii="Times New Roman" w:hAnsi="Times New Roman"/>
                <w:sz w:val="20"/>
              </w:rPr>
              <w:t>Kognition</w:t>
            </w:r>
          </w:p>
        </w:tc>
        <w:tc>
          <w:tcPr>
            <w:tcW w:type="dxa" w:w="4536"/>
          </w:tcPr>
          <w:p>
            <w:r>
              <w:rPr>
                <w:rFonts w:ascii="Times New Roman" w:hAnsi="Times New Roman"/>
                <w:sz w:val="20"/>
              </w:rPr>
              <w:t>orientiert, versteht Verkehrsregeln, keine relevante Aufmerksamkeitsstörung</w:t>
            </w:r>
          </w:p>
        </w:tc>
      </w:tr>
    </w:tbl>
    <w:p>
      <w:pPr>
        <w:pStyle w:val="Heading2"/>
      </w:pPr>
      <w:r>
        <w:rPr>
          <w:rFonts w:ascii="Times New Roman" w:hAnsi="Times New Roman"/>
        </w:rPr>
        <w:t>Bewertung</w:t>
      </w:r>
    </w:p>
    <w:p>
      <w:pPr>
        <w:jc w:val="left"/>
      </w:pPr>
      <w:r>
        <w:t>Eine sichere Gehfähigkeit im sozialmedizinisch brauchbaren Sinne besteht nicht mehr. Herr Körner kann in der Wohnung einzelne Transfers und wenige Schritte durchführen. Für Wege außerhalb der Wohnung ist er praktisch nicht mehr selbständig mobil.</w:t>
      </w:r>
    </w:p>
    <w:p>
      <w:pPr>
        <w:jc w:val="left"/>
      </w:pPr>
      <w:r>
        <w:t>Ein Gehstock oder eine Unterarmgehstütze ist nicht ausreichend. Die Sturzgefahr entsteht gerade durch Gleichgewichtsstörung, Sensibilitätsausfall und fehlende Ausdauer. Ein Rollator hilft auf ebenem Praxisflur, nicht aber im tatsächlichen Wohnumfeld mit Schwellen, Haustür, Bordstein, Pflasterung und Verkehrsraum.</w:t>
      </w:r>
    </w:p>
    <w:p>
      <w:pPr>
        <w:jc w:val="left"/>
      </w:pPr>
      <w:r>
        <w:t>Ein manueller Rollstuhl scheidet als selbständige Lösung aus. Wegen Schulterbefund, Herzinsuffizienz und geringer Ausdauer wäre Herr Körner auf eine Begleitperson angewiesen. Der Behinderungsausgleich würde dann nicht durch das Hilfsmittel selbst, sondern durch fremde Hilfe erreicht.</w:t>
      </w:r>
    </w:p>
    <w:p>
      <w:pPr>
        <w:pStyle w:val="Heading2"/>
      </w:pPr>
      <w:r>
        <w:rPr>
          <w:rFonts w:ascii="Times New Roman" w:hAnsi="Times New Roman"/>
        </w:rPr>
        <w:t>Empfehlung</w:t>
      </w:r>
    </w:p>
    <w:p>
      <w:pPr>
        <w:jc w:val="left"/>
      </w:pPr>
      <w:r>
        <w:t>Aus fachärztlicher Sicht ist ein kompakter Elektrorollstuhl medizinisch erforderlich. Vor Bewilligung sollte ein Fahrtraining und eine Anpassung durch das Sanitätshaus erfolgen. Die Fahreignung erscheint bei langsamer Einstellung und Einweisung gegeben.</w:t>
      </w:r>
    </w:p>
    <w:p>
      <w:pPr>
        <w:pStyle w:val="Heading2"/>
      </w:pPr>
      <w:r>
        <w:rPr>
          <w:rFonts w:ascii="Times New Roman" w:hAnsi="Times New Roman"/>
        </w:rPr>
        <w:t>Beweiswert</w:t>
      </w:r>
    </w:p>
    <w:p>
      <w:pPr>
        <w:jc w:val="left"/>
      </w:pPr>
      <w:r>
        <w:t>Der Bericht beruht auf persönlicher Untersuchung, Gehprobe, neurologischem Befund und Auswertung der hausärztlichen Unterlagen. Eine reine Aktenprüfung ohne Gehprobe kann die tatsächliche Mobilität nur eingeschränkt beurteilen.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