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Wohnungsumfeld und Barrierefreiheit</w:t>
      </w:r>
    </w:p>
    <w:p>
      <w:pPr>
        <w:jc w:val="left"/>
      </w:pPr>
      <w:r>
        <w:t>Ortstermin RehaTechnik Albrecht GmbH am 18.05.2026</w:t>
      </w:r>
    </w:p>
    <w:p>
      <w:pPr>
        <w:jc w:val="left"/>
      </w:pPr>
      <w:r>
        <w:t>Teilnehmer: Heinz Körner, Dr. Maren Körner, Reha-Fachberaterin Anja Voss</w:t>
      </w:r>
    </w:p>
    <w:p>
      <w:pPr>
        <w:pStyle w:val="Heading2"/>
      </w:pPr>
      <w:r>
        <w:rPr>
          <w:rFonts w:ascii="Times New Roman" w:hAnsi="Times New Roman"/>
        </w:rPr>
        <w:t>Gebäude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Punkt</w:t>
            </w:r>
          </w:p>
        </w:tc>
        <w:tc>
          <w:tcPr>
            <w:tcW w:type="dxa" w:w="4536"/>
          </w:tcPr>
          <w:p>
            <w:r>
              <w:rPr>
                <w:rFonts w:ascii="Times New Roman" w:hAnsi="Times New Roman"/>
                <w:b/>
                <w:sz w:val="20"/>
              </w:rPr>
              <w:t>Feststellung</w:t>
            </w:r>
          </w:p>
        </w:tc>
      </w:tr>
      <w:tr>
        <w:tc>
          <w:tcPr>
            <w:tcW w:type="dxa" w:w="4536"/>
          </w:tcPr>
          <w:p>
            <w:r>
              <w:rPr>
                <w:rFonts w:ascii="Times New Roman" w:hAnsi="Times New Roman"/>
                <w:sz w:val="20"/>
              </w:rPr>
              <w:t>Baujahr</w:t>
            </w:r>
          </w:p>
        </w:tc>
        <w:tc>
          <w:tcPr>
            <w:tcW w:type="dxa" w:w="4536"/>
          </w:tcPr>
          <w:p>
            <w:r>
              <w:rPr>
                <w:rFonts w:ascii="Times New Roman" w:hAnsi="Times New Roman"/>
                <w:sz w:val="20"/>
              </w:rPr>
              <w:t>1908, viergeschossiger Altbau</w:t>
            </w:r>
          </w:p>
        </w:tc>
      </w:tr>
      <w:tr>
        <w:tc>
          <w:tcPr>
            <w:tcW w:type="dxa" w:w="4536"/>
          </w:tcPr>
          <w:p>
            <w:r>
              <w:rPr>
                <w:rFonts w:ascii="Times New Roman" w:hAnsi="Times New Roman"/>
                <w:sz w:val="20"/>
              </w:rPr>
              <w:t>Wohnung</w:t>
            </w:r>
          </w:p>
        </w:tc>
        <w:tc>
          <w:tcPr>
            <w:tcW w:type="dxa" w:w="4536"/>
          </w:tcPr>
          <w:p>
            <w:r>
              <w:rPr>
                <w:rFonts w:ascii="Times New Roman" w:hAnsi="Times New Roman"/>
                <w:sz w:val="20"/>
              </w:rPr>
              <w:t>erster Stock links, 62 Quadratmeter</w:t>
            </w:r>
          </w:p>
        </w:tc>
      </w:tr>
      <w:tr>
        <w:tc>
          <w:tcPr>
            <w:tcW w:type="dxa" w:w="4536"/>
          </w:tcPr>
          <w:p>
            <w:r>
              <w:rPr>
                <w:rFonts w:ascii="Times New Roman" w:hAnsi="Times New Roman"/>
                <w:sz w:val="20"/>
              </w:rPr>
              <w:t>Aufzug</w:t>
            </w:r>
          </w:p>
        </w:tc>
        <w:tc>
          <w:tcPr>
            <w:tcW w:type="dxa" w:w="4536"/>
          </w:tcPr>
          <w:p>
            <w:r>
              <w:rPr>
                <w:rFonts w:ascii="Times New Roman" w:hAnsi="Times New Roman"/>
                <w:sz w:val="20"/>
              </w:rPr>
              <w:t>nicht vorhanden</w:t>
            </w:r>
          </w:p>
        </w:tc>
      </w:tr>
      <w:tr>
        <w:tc>
          <w:tcPr>
            <w:tcW w:type="dxa" w:w="4536"/>
          </w:tcPr>
          <w:p>
            <w:r>
              <w:rPr>
                <w:rFonts w:ascii="Times New Roman" w:hAnsi="Times New Roman"/>
                <w:sz w:val="20"/>
              </w:rPr>
              <w:t>Treppe</w:t>
            </w:r>
          </w:p>
        </w:tc>
        <w:tc>
          <w:tcPr>
            <w:tcW w:type="dxa" w:w="4536"/>
          </w:tcPr>
          <w:p>
            <w:r>
              <w:rPr>
                <w:rFonts w:ascii="Times New Roman" w:hAnsi="Times New Roman"/>
                <w:sz w:val="20"/>
              </w:rPr>
              <w:t>21 Stufen bis Wohnungstür, beidseitiges Geländer nur im unteren Abschnitt</w:t>
            </w:r>
          </w:p>
        </w:tc>
      </w:tr>
      <w:tr>
        <w:tc>
          <w:tcPr>
            <w:tcW w:type="dxa" w:w="4536"/>
          </w:tcPr>
          <w:p>
            <w:r>
              <w:rPr>
                <w:rFonts w:ascii="Times New Roman" w:hAnsi="Times New Roman"/>
                <w:sz w:val="20"/>
              </w:rPr>
              <w:t>Hauseingang</w:t>
            </w:r>
          </w:p>
        </w:tc>
        <w:tc>
          <w:tcPr>
            <w:tcW w:type="dxa" w:w="4536"/>
          </w:tcPr>
          <w:p>
            <w:r>
              <w:rPr>
                <w:rFonts w:ascii="Times New Roman" w:hAnsi="Times New Roman"/>
                <w:sz w:val="20"/>
              </w:rPr>
              <w:t>zwei Stufen zur Straße, mobile Rampe möglich</w:t>
            </w:r>
          </w:p>
        </w:tc>
      </w:tr>
      <w:tr>
        <w:tc>
          <w:tcPr>
            <w:tcW w:type="dxa" w:w="4536"/>
          </w:tcPr>
          <w:p>
            <w:r>
              <w:rPr>
                <w:rFonts w:ascii="Times New Roman" w:hAnsi="Times New Roman"/>
                <w:sz w:val="20"/>
              </w:rPr>
              <w:t>Abstellfläche</w:t>
            </w:r>
          </w:p>
        </w:tc>
        <w:tc>
          <w:tcPr>
            <w:tcW w:type="dxa" w:w="4536"/>
          </w:tcPr>
          <w:p>
            <w:r>
              <w:rPr>
                <w:rFonts w:ascii="Times New Roman" w:hAnsi="Times New Roman"/>
                <w:sz w:val="20"/>
              </w:rPr>
              <w:t>Erdgeschoss, ehemaliger Kinderwagenraum, Stromanschluss vorhanden</w:t>
            </w:r>
          </w:p>
        </w:tc>
      </w:tr>
      <w:tr>
        <w:tc>
          <w:tcPr>
            <w:tcW w:type="dxa" w:w="4536"/>
          </w:tcPr>
          <w:p>
            <w:r>
              <w:rPr>
                <w:rFonts w:ascii="Times New Roman" w:hAnsi="Times New Roman"/>
                <w:sz w:val="20"/>
              </w:rPr>
              <w:t>Türbreiten Wohnung</w:t>
            </w:r>
          </w:p>
        </w:tc>
        <w:tc>
          <w:tcPr>
            <w:tcW w:type="dxa" w:w="4536"/>
          </w:tcPr>
          <w:p>
            <w:r>
              <w:rPr>
                <w:rFonts w:ascii="Times New Roman" w:hAnsi="Times New Roman"/>
                <w:sz w:val="20"/>
              </w:rPr>
              <w:t>Bad 68 cm, Küche 74 cm, Wohnzimmer 81 cm</w:t>
            </w:r>
          </w:p>
        </w:tc>
      </w:tr>
      <w:tr>
        <w:tc>
          <w:tcPr>
            <w:tcW w:type="dxa" w:w="4536"/>
          </w:tcPr>
          <w:p>
            <w:r>
              <w:rPr>
                <w:rFonts w:ascii="Times New Roman" w:hAnsi="Times New Roman"/>
                <w:sz w:val="20"/>
              </w:rPr>
              <w:t>Gehweg</w:t>
            </w:r>
          </w:p>
        </w:tc>
        <w:tc>
          <w:tcPr>
            <w:tcW w:type="dxa" w:w="4536"/>
          </w:tcPr>
          <w:p>
            <w:r>
              <w:rPr>
                <w:rFonts w:ascii="Times New Roman" w:hAnsi="Times New Roman"/>
                <w:sz w:val="20"/>
              </w:rPr>
              <w:t>unebenes Klinkerpflaster, Bordstein am Übergang Theaterwall</w:t>
            </w:r>
          </w:p>
        </w:tc>
      </w:tr>
    </w:tbl>
    <w:p>
      <w:pPr>
        <w:pStyle w:val="Heading2"/>
      </w:pPr>
      <w:r>
        <w:rPr>
          <w:rFonts w:ascii="Times New Roman" w:hAnsi="Times New Roman"/>
        </w:rPr>
        <w:t>Praktische Konsequenz</w:t>
      </w:r>
    </w:p>
    <w:p>
      <w:pPr>
        <w:jc w:val="left"/>
      </w:pPr>
      <w:r>
        <w:t>Der Elektrorollstuhl kann nicht die Treppe in die Wohnung ersetzen. Er kann aber im Erdgeschoss abgestellt werden. Herr Körner muss die Treppe weiterhin mit Hilfe bewältigen. Der Streit betrifft vor allem die selbständige Mobilität ab Erdgeschoss und im Nahbereich. Für die Wohnung selbst sind Haltegriffe, Duschhocker und ein Toilettensitzerhöherer bereits vorhanden oder beantragt.</w:t>
      </w:r>
    </w:p>
    <w:p>
      <w:pPr>
        <w:jc w:val="left"/>
      </w:pPr>
      <w:r>
        <w:t>Die Krankenkasse weist darauf hin, dass bauliche Barrierefreiheit nicht Aufgabe der Krankenversicherung sei. Das ist richtig, löst aber nicht den Hilfsmittelbedarf. Der Versicherte benötigt keine Wohnraumsanierung von der Krankenkasse, sondern ein Hilfsmittel, das die vorhandene Mobilitätslücke ab Hausausgang praktisch schließt.</w:t>
      </w:r>
    </w:p>
    <w:p>
      <w:pPr>
        <w:pStyle w:val="Heading2"/>
      </w:pPr>
      <w:r>
        <w:rPr>
          <w:rFonts w:ascii="Times New Roman" w:hAnsi="Times New Roman"/>
        </w:rPr>
        <w:t>Alternativen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Alternative</w:t>
            </w:r>
          </w:p>
        </w:tc>
        <w:tc>
          <w:tcPr>
            <w:tcW w:type="dxa" w:w="4536"/>
          </w:tcPr>
          <w:p>
            <w:r>
              <w:rPr>
                <w:rFonts w:ascii="Times New Roman" w:hAnsi="Times New Roman"/>
                <w:b/>
                <w:sz w:val="20"/>
              </w:rPr>
              <w:t>Ergebnis der Prüfung</w:t>
            </w:r>
          </w:p>
        </w:tc>
      </w:tr>
      <w:tr>
        <w:tc>
          <w:tcPr>
            <w:tcW w:type="dxa" w:w="4536"/>
          </w:tcPr>
          <w:p>
            <w:r>
              <w:rPr>
                <w:rFonts w:ascii="Times New Roman" w:hAnsi="Times New Roman"/>
                <w:sz w:val="20"/>
              </w:rPr>
              <w:t>Unterarmgehstütze</w:t>
            </w:r>
          </w:p>
        </w:tc>
        <w:tc>
          <w:tcPr>
            <w:tcW w:type="dxa" w:w="4536"/>
          </w:tcPr>
          <w:p>
            <w:r>
              <w:rPr>
                <w:rFonts w:ascii="Times New Roman" w:hAnsi="Times New Roman"/>
                <w:sz w:val="20"/>
              </w:rPr>
              <w:t>Sturzrisiko bleibt, keine sichere Nahbereichsmobilität</w:t>
            </w:r>
          </w:p>
        </w:tc>
      </w:tr>
      <w:tr>
        <w:tc>
          <w:tcPr>
            <w:tcW w:type="dxa" w:w="4536"/>
          </w:tcPr>
          <w:p>
            <w:r>
              <w:rPr>
                <w:rFonts w:ascii="Times New Roman" w:hAnsi="Times New Roman"/>
                <w:sz w:val="20"/>
              </w:rPr>
              <w:t>Rollator</w:t>
            </w:r>
          </w:p>
        </w:tc>
        <w:tc>
          <w:tcPr>
            <w:tcW w:type="dxa" w:w="4536"/>
          </w:tcPr>
          <w:p>
            <w:r>
              <w:rPr>
                <w:rFonts w:ascii="Times New Roman" w:hAnsi="Times New Roman"/>
                <w:sz w:val="20"/>
              </w:rPr>
              <w:t>in Praxisflur teilweise, im realen Gehwegumfeld nicht sicher</w:t>
            </w:r>
          </w:p>
        </w:tc>
      </w:tr>
      <w:tr>
        <w:tc>
          <w:tcPr>
            <w:tcW w:type="dxa" w:w="4536"/>
          </w:tcPr>
          <w:p>
            <w:r>
              <w:rPr>
                <w:rFonts w:ascii="Times New Roman" w:hAnsi="Times New Roman"/>
                <w:sz w:val="20"/>
              </w:rPr>
              <w:t>Standard-Faltrollstuhl</w:t>
            </w:r>
          </w:p>
        </w:tc>
        <w:tc>
          <w:tcPr>
            <w:tcW w:type="dxa" w:w="4536"/>
          </w:tcPr>
          <w:p>
            <w:r>
              <w:rPr>
                <w:rFonts w:ascii="Times New Roman" w:hAnsi="Times New Roman"/>
                <w:sz w:val="20"/>
              </w:rPr>
              <w:t>nur mit schiebender Begleitperson, kein selbständiger Ausgleich</w:t>
            </w:r>
          </w:p>
        </w:tc>
      </w:tr>
      <w:tr>
        <w:tc>
          <w:tcPr>
            <w:tcW w:type="dxa" w:w="4536"/>
          </w:tcPr>
          <w:p>
            <w:r>
              <w:rPr>
                <w:rFonts w:ascii="Times New Roman" w:hAnsi="Times New Roman"/>
                <w:sz w:val="20"/>
              </w:rPr>
              <w:t>Elektromobil</w:t>
            </w:r>
          </w:p>
        </w:tc>
        <w:tc>
          <w:tcPr>
            <w:tcW w:type="dxa" w:w="4536"/>
          </w:tcPr>
          <w:p>
            <w:r>
              <w:rPr>
                <w:rFonts w:ascii="Times New Roman" w:hAnsi="Times New Roman"/>
                <w:sz w:val="20"/>
              </w:rPr>
              <w:t>zu groß für Abstellfläche und Hauseingang, Wendekreis nicht geeignet</w:t>
            </w:r>
          </w:p>
        </w:tc>
      </w:tr>
      <w:tr>
        <w:tc>
          <w:tcPr>
            <w:tcW w:type="dxa" w:w="4536"/>
          </w:tcPr>
          <w:p>
            <w:r>
              <w:rPr>
                <w:rFonts w:ascii="Times New Roman" w:hAnsi="Times New Roman"/>
                <w:sz w:val="20"/>
              </w:rPr>
              <w:t>Umzug</w:t>
            </w:r>
          </w:p>
        </w:tc>
        <w:tc>
          <w:tcPr>
            <w:tcW w:type="dxa" w:w="4536"/>
          </w:tcPr>
          <w:p>
            <w:r>
              <w:rPr>
                <w:rFonts w:ascii="Times New Roman" w:hAnsi="Times New Roman"/>
                <w:sz w:val="20"/>
              </w:rPr>
              <w:t>medizinisch und sozial nicht kurzfristig, nicht Gegenstand des Hilfsmittelantrags</w:t>
            </w:r>
          </w:p>
        </w:tc>
      </w:tr>
      <w:tr>
        <w:tc>
          <w:tcPr>
            <w:tcW w:type="dxa" w:w="4536"/>
          </w:tcPr>
          <w:p>
            <w:r>
              <w:rPr>
                <w:rFonts w:ascii="Times New Roman" w:hAnsi="Times New Roman"/>
                <w:sz w:val="20"/>
              </w:rPr>
              <w:t>Elektrorollstuhl kompakt</w:t>
            </w:r>
          </w:p>
        </w:tc>
        <w:tc>
          <w:tcPr>
            <w:tcW w:type="dxa" w:w="4536"/>
          </w:tcPr>
          <w:p>
            <w:r>
              <w:rPr>
                <w:rFonts w:ascii="Times New Roman" w:hAnsi="Times New Roman"/>
                <w:sz w:val="20"/>
              </w:rPr>
              <w:t>technisch passend, Fahrprobe langsam möglich</w:t>
            </w:r>
          </w:p>
        </w:tc>
      </w:tr>
    </w:tbl>
    <w:p>
      <w:pPr>
        <w:pStyle w:val="Heading2"/>
      </w:pPr>
      <w:r>
        <w:rPr>
          <w:rFonts w:ascii="Times New Roman" w:hAnsi="Times New Roman"/>
        </w:rPr>
        <w:t>Offene technische Punkte</w:t>
      </w:r>
    </w:p>
    <w:p>
      <w:pPr>
        <w:pStyle w:val="ListNumber"/>
      </w:pPr>
      <w:r>
        <w:t>Vermieterzustimmung für Abstellen und Laden im Erdgeschoss einholen.</w:t>
      </w:r>
    </w:p>
    <w:p>
      <w:pPr>
        <w:pStyle w:val="ListNumber"/>
      </w:pPr>
      <w:r>
        <w:t>Brandschutzprüfung für Akku-Ladeplatz dokumentieren.</w:t>
      </w:r>
    </w:p>
    <w:p>
      <w:pPr>
        <w:pStyle w:val="ListNumber"/>
      </w:pPr>
      <w:r>
        <w:t>Mobile Rampe für zwei Eingangsstufen gesondert prüfen.</w:t>
      </w:r>
    </w:p>
    <w:p>
      <w:pPr>
        <w:pStyle w:val="ListNumber"/>
      </w:pPr>
      <w:r>
        <w:t>Fahrtraining im Innenhof und auf Gehweg dokumentieren.</w:t>
      </w:r>
    </w:p>
    <w:p>
      <w:pPr>
        <w:pStyle w:val="ListNumber"/>
      </w:pPr>
      <w:r>
        <w:t>Wartungs- und Reparaturpauschale mit Sanitätshaus klären.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