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Stellungnahme des Medizinischen Dienstes</w:t>
      </w:r>
    </w:p>
    <w:p>
      <w:pPr>
        <w:jc w:val="left"/>
      </w:pPr>
      <w:r>
        <w:t>MD Niedersachsen</w:t>
      </w:r>
    </w:p>
    <w:p>
      <w:pPr>
        <w:jc w:val="left"/>
      </w:pPr>
      <w:r>
        <w:t>Beratungszentrum Oldenburg</w:t>
      </w:r>
    </w:p>
    <w:p>
      <w:pPr>
        <w:jc w:val="left"/>
      </w:pPr>
      <w:r>
        <w:t>Gutachterliche Stellungnahme nach Aktenlage vom 05.06.2026</w:t>
      </w:r>
    </w:p>
    <w:p>
      <w:pPr>
        <w:pStyle w:val="Heading2"/>
      </w:pPr>
      <w:r>
        <w:rPr>
          <w:rFonts w:ascii="Times New Roman" w:hAnsi="Times New Roman"/>
        </w:rPr>
        <w:t>Auftrag</w:t>
      </w:r>
    </w:p>
    <w:p>
      <w:pPr>
        <w:jc w:val="left"/>
      </w:pPr>
      <w:r>
        <w:t>Prüfung der medizinischen Notwendigkeit eines Elektrorollstuhls nach Paragraf 33 SGB V.</w:t>
      </w:r>
    </w:p>
    <w:p>
      <w:pPr>
        <w:pStyle w:val="Heading2"/>
      </w:pPr>
      <w:r>
        <w:rPr>
          <w:rFonts w:ascii="Times New Roman" w:hAnsi="Times New Roman"/>
        </w:rPr>
        <w:t>Vorliegende Unterlagen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Unterlage</w:t>
            </w:r>
          </w:p>
        </w:tc>
        <w:tc>
          <w:tcPr>
            <w:tcW w:type="dxa" w:w="3024"/>
          </w:tcPr>
          <w:p>
            <w:r>
              <w:rPr>
                <w:rFonts w:ascii="Times New Roman" w:hAnsi="Times New Roman"/>
                <w:b/>
                <w:sz w:val="20"/>
              </w:rPr>
              <w:t>Datum</w:t>
            </w:r>
          </w:p>
        </w:tc>
        <w:tc>
          <w:tcPr>
            <w:tcW w:type="dxa" w:w="3024"/>
          </w:tcPr>
          <w:p>
            <w:r>
              <w:rPr>
                <w:rFonts w:ascii="Times New Roman" w:hAnsi="Times New Roman"/>
                <w:b/>
                <w:sz w:val="20"/>
              </w:rPr>
              <w:t>Bewertung des MD</w:t>
            </w:r>
          </w:p>
        </w:tc>
      </w:tr>
      <w:tr>
        <w:tc>
          <w:tcPr>
            <w:tcW w:type="dxa" w:w="3024"/>
          </w:tcPr>
          <w:p>
            <w:r>
              <w:rPr>
                <w:rFonts w:ascii="Times New Roman" w:hAnsi="Times New Roman"/>
                <w:sz w:val="20"/>
              </w:rPr>
              <w:t>Hausärztliche Verordnung</w:t>
            </w:r>
          </w:p>
        </w:tc>
        <w:tc>
          <w:tcPr>
            <w:tcW w:type="dxa" w:w="3024"/>
          </w:tcPr>
          <w:p>
            <w:r>
              <w:rPr>
                <w:rFonts w:ascii="Times New Roman" w:hAnsi="Times New Roman"/>
                <w:sz w:val="20"/>
              </w:rPr>
              <w:t>16.05.2026</w:t>
            </w:r>
          </w:p>
        </w:tc>
        <w:tc>
          <w:tcPr>
            <w:tcW w:type="dxa" w:w="3024"/>
          </w:tcPr>
          <w:p>
            <w:r>
              <w:rPr>
                <w:rFonts w:ascii="Times New Roman" w:hAnsi="Times New Roman"/>
                <w:sz w:val="20"/>
              </w:rPr>
              <w:t>berücksichtigt</w:t>
            </w:r>
          </w:p>
        </w:tc>
      </w:tr>
      <w:tr>
        <w:tc>
          <w:tcPr>
            <w:tcW w:type="dxa" w:w="3024"/>
          </w:tcPr>
          <w:p>
            <w:r>
              <w:rPr>
                <w:rFonts w:ascii="Times New Roman" w:hAnsi="Times New Roman"/>
                <w:sz w:val="20"/>
              </w:rPr>
              <w:t>Facharztbericht Dr. Radtke</w:t>
            </w:r>
          </w:p>
        </w:tc>
        <w:tc>
          <w:tcPr>
            <w:tcW w:type="dxa" w:w="3024"/>
          </w:tcPr>
          <w:p>
            <w:r>
              <w:rPr>
                <w:rFonts w:ascii="Times New Roman" w:hAnsi="Times New Roman"/>
                <w:sz w:val="20"/>
              </w:rPr>
              <w:t>17.05.2026</w:t>
            </w:r>
          </w:p>
        </w:tc>
        <w:tc>
          <w:tcPr>
            <w:tcW w:type="dxa" w:w="3024"/>
          </w:tcPr>
          <w:p>
            <w:r>
              <w:rPr>
                <w:rFonts w:ascii="Times New Roman" w:hAnsi="Times New Roman"/>
                <w:sz w:val="20"/>
              </w:rPr>
              <w:t>berücksichtigt</w:t>
            </w:r>
          </w:p>
        </w:tc>
      </w:tr>
      <w:tr>
        <w:tc>
          <w:tcPr>
            <w:tcW w:type="dxa" w:w="3024"/>
          </w:tcPr>
          <w:p>
            <w:r>
              <w:rPr>
                <w:rFonts w:ascii="Times New Roman" w:hAnsi="Times New Roman"/>
                <w:sz w:val="20"/>
              </w:rPr>
              <w:t>Kostenvoranschlag RehaTechnik Albrecht</w:t>
            </w:r>
          </w:p>
        </w:tc>
        <w:tc>
          <w:tcPr>
            <w:tcW w:type="dxa" w:w="3024"/>
          </w:tcPr>
          <w:p>
            <w:r>
              <w:rPr>
                <w:rFonts w:ascii="Times New Roman" w:hAnsi="Times New Roman"/>
                <w:sz w:val="20"/>
              </w:rPr>
              <w:t>20.05.2026</w:t>
            </w:r>
          </w:p>
        </w:tc>
        <w:tc>
          <w:tcPr>
            <w:tcW w:type="dxa" w:w="3024"/>
          </w:tcPr>
          <w:p>
            <w:r>
              <w:rPr>
                <w:rFonts w:ascii="Times New Roman" w:hAnsi="Times New Roman"/>
                <w:sz w:val="20"/>
              </w:rPr>
              <w:t>berücksichtigt</w:t>
            </w:r>
          </w:p>
        </w:tc>
      </w:tr>
      <w:tr>
        <w:tc>
          <w:tcPr>
            <w:tcW w:type="dxa" w:w="3024"/>
          </w:tcPr>
          <w:p>
            <w:r>
              <w:rPr>
                <w:rFonts w:ascii="Times New Roman" w:hAnsi="Times New Roman"/>
                <w:sz w:val="20"/>
              </w:rPr>
              <w:t>Eigenschilderung Versicherter</w:t>
            </w:r>
          </w:p>
        </w:tc>
        <w:tc>
          <w:tcPr>
            <w:tcW w:type="dxa" w:w="3024"/>
          </w:tcPr>
          <w:p>
            <w:r>
              <w:rPr>
                <w:rFonts w:ascii="Times New Roman" w:hAnsi="Times New Roman"/>
                <w:sz w:val="20"/>
              </w:rPr>
              <w:t>21.05.2026</w:t>
            </w:r>
          </w:p>
        </w:tc>
        <w:tc>
          <w:tcPr>
            <w:tcW w:type="dxa" w:w="3024"/>
          </w:tcPr>
          <w:p>
            <w:r>
              <w:rPr>
                <w:rFonts w:ascii="Times New Roman" w:hAnsi="Times New Roman"/>
                <w:sz w:val="20"/>
              </w:rPr>
              <w:t>nur eingeschränkt verwertbar</w:t>
            </w:r>
          </w:p>
        </w:tc>
      </w:tr>
      <w:tr>
        <w:tc>
          <w:tcPr>
            <w:tcW w:type="dxa" w:w="3024"/>
          </w:tcPr>
          <w:p>
            <w:r>
              <w:rPr>
                <w:rFonts w:ascii="Times New Roman" w:hAnsi="Times New Roman"/>
                <w:sz w:val="20"/>
              </w:rPr>
              <w:t>Wohnumfeldnotiz Sanitätshaus</w:t>
            </w:r>
          </w:p>
        </w:tc>
        <w:tc>
          <w:tcPr>
            <w:tcW w:type="dxa" w:w="3024"/>
          </w:tcPr>
          <w:p>
            <w:r>
              <w:rPr>
                <w:rFonts w:ascii="Times New Roman" w:hAnsi="Times New Roman"/>
                <w:sz w:val="20"/>
              </w:rPr>
              <w:t>18.05.2026</w:t>
            </w:r>
          </w:p>
        </w:tc>
        <w:tc>
          <w:tcPr>
            <w:tcW w:type="dxa" w:w="3024"/>
          </w:tcPr>
          <w:p>
            <w:r>
              <w:rPr>
                <w:rFonts w:ascii="Times New Roman" w:hAnsi="Times New Roman"/>
                <w:sz w:val="20"/>
              </w:rPr>
              <w:t>technisch, nicht medizinisch</w:t>
            </w:r>
          </w:p>
        </w:tc>
      </w:tr>
    </w:tbl>
    <w:p>
      <w:pPr>
        <w:jc w:val="left"/>
      </w:pPr>
      <w:r>
        <w:t>Eine persönliche Untersuchung fand nicht statt.</w:t>
      </w:r>
    </w:p>
    <w:p>
      <w:pPr>
        <w:pStyle w:val="Heading2"/>
      </w:pPr>
      <w:r>
        <w:rPr>
          <w:rFonts w:ascii="Times New Roman" w:hAnsi="Times New Roman"/>
        </w:rPr>
        <w:t>Zusammenfassung der MD-Bewertung</w:t>
      </w:r>
    </w:p>
    <w:p>
      <w:pPr>
        <w:jc w:val="left"/>
      </w:pPr>
      <w:r>
        <w:t>Der Versicherte ist in seiner Gehfähigkeit eingeschränkt. Eine vollständige Gehunfähigkeit ist aus den Unterlagen nicht ableitbar. Er kann nach fachärztlichem Bericht im Innenbereich wenige Meter gehen und mit Rollator auf ebener Strecke 32 Meter zurücklegen. Damit ist eine Restmobilität vorhanden.</w:t>
      </w:r>
    </w:p>
    <w:p>
      <w:pPr>
        <w:jc w:val="left"/>
      </w:pPr>
      <w:r>
        <w:t>Die Versorgung mit einem Elektrorollstuhl ist nach Aktenlage nicht erforderlich. Vorrangig seien auszuschöpfen:</w:t>
      </w:r>
    </w:p>
    <w:p>
      <w:pPr>
        <w:pStyle w:val="ListNumber"/>
      </w:pPr>
      <w:r>
        <w:t>konsequente Nutzung einer Unterarmgehstütze,</w:t>
      </w:r>
    </w:p>
    <w:p>
      <w:pPr>
        <w:pStyle w:val="ListNumber"/>
      </w:pPr>
      <w:r>
        <w:t>Training mit vorhandenem Rollator,</w:t>
      </w:r>
    </w:p>
    <w:p>
      <w:pPr>
        <w:pStyle w:val="ListNumber"/>
      </w:pPr>
      <w:r>
        <w:t>Standard-Faltrollstuhl für längere Wege mit Begleitperson,</w:t>
      </w:r>
    </w:p>
    <w:p>
      <w:pPr>
        <w:pStyle w:val="ListNumber"/>
      </w:pPr>
      <w:r>
        <w:t>Prüfung wohnumfeldverbessernder Maßnahmen über Pflegekasse oder Vermieter.</w:t>
      </w:r>
    </w:p>
    <w:p>
      <w:pPr>
        <w:pStyle w:val="Heading2"/>
      </w:pPr>
      <w:r>
        <w:rPr>
          <w:rFonts w:ascii="Times New Roman" w:hAnsi="Times New Roman"/>
        </w:rPr>
        <w:t>Wirtschaftliche Bewertung</w:t>
      </w:r>
    </w:p>
    <w:p>
      <w:pPr>
        <w:jc w:val="left"/>
      </w:pPr>
      <w:r>
        <w:t>Der beantragte Elektrorollstuhl verursacht Kosten von 10.990,00 EUR. Ein Standard-Faltrollstuhl aus dem Vertragssortiment der Kasse liegt bei etwa 740,00 EUR. Ein Rollator ist bereits vorhanden. Ausreichend, zweckmäßig und wirtschaftlich ist daher die einfache Versorgung.</w:t>
      </w:r>
    </w:p>
    <w:p>
      <w:pPr>
        <w:pStyle w:val="Heading2"/>
      </w:pPr>
      <w:r>
        <w:rPr>
          <w:rFonts w:ascii="Times New Roman" w:hAnsi="Times New Roman"/>
        </w:rPr>
        <w:t>Schlussfolgerung</w:t>
      </w:r>
    </w:p>
    <w:p>
      <w:pPr>
        <w:jc w:val="left"/>
      </w:pPr>
      <w:r>
        <w:t>Aus sozialmedizinischer Sicht wird empfohlen, den Antrag abzulehnen. Eine erneute Prüfung kann erfolgen, wenn:</w:t>
      </w:r>
    </w:p>
    <w:p>
      <w:pPr>
        <w:pStyle w:val="ListNumber"/>
      </w:pPr>
      <w:r>
        <w:t>eine aktuelle fachärztliche Bescheinigung eine vollständige Unfähigkeit zur Nutzung einfacherer Hilfsmittel belegt,</w:t>
      </w:r>
    </w:p>
    <w:p>
      <w:pPr>
        <w:pStyle w:val="ListNumber"/>
      </w:pPr>
      <w:r>
        <w:t>ein Fahrtraining eine sichere Bedienung des Elektrorollstuhls nachweist,</w:t>
      </w:r>
    </w:p>
    <w:p>
      <w:pPr>
        <w:pStyle w:val="ListNumber"/>
      </w:pPr>
      <w:r>
        <w:t>die Abstell- und Ladesituation brandschutzrechtlich geklärt ist.</w:t>
      </w:r>
    </w:p>
    <w:p>
      <w:pPr>
        <w:pStyle w:val="Heading2"/>
      </w:pPr>
      <w:r>
        <w:rPr>
          <w:rFonts w:ascii="Times New Roman" w:hAnsi="Times New Roman"/>
        </w:rPr>
        <w:t>Interne Schwäche der Stellungnahme</w:t>
      </w:r>
    </w:p>
    <w:p>
      <w:pPr>
        <w:jc w:val="left"/>
      </w:pPr>
      <w:r>
        <w:t>Diese Passage ist aus der Akte der Krankenkasse entnommen: Die Stellungnahme beruht nur auf Aktenlage. Gehprobe, Wohnumfeld, Rollstuhltest und tatsächliche Nutzung einfacher Hilfsmittel wurden nicht selbst überprüft.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